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rsidR="00534919" w:rsidRPr="00A377E1" w:rsidRDefault="00534919" w:rsidP="00534919">
      <w:pPr>
        <w:jc w:val="both"/>
        <w:rPr>
          <w:sz w:val="20"/>
          <w:szCs w:val="20"/>
        </w:rPr>
      </w:pPr>
      <w:r w:rsidRPr="00A377E1">
        <w:rPr>
          <w:sz w:val="20"/>
          <w:szCs w:val="20"/>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33"/>
        <w:gridCol w:w="3474"/>
        <w:gridCol w:w="3209"/>
      </w:tblGrid>
      <w:tr w:rsidR="00C755FB" w:rsidRPr="00A377E1" w:rsidTr="00AD6FAB">
        <w:tc>
          <w:tcPr>
            <w:tcW w:w="2333" w:type="dxa"/>
            <w:vAlign w:val="center"/>
          </w:tcPr>
          <w:p w:rsidR="00534919" w:rsidRPr="00A377E1" w:rsidRDefault="00534919" w:rsidP="00534919">
            <w:pPr>
              <w:jc w:val="center"/>
              <w:rPr>
                <w:sz w:val="24"/>
                <w:szCs w:val="24"/>
              </w:rPr>
            </w:pPr>
          </w:p>
        </w:tc>
        <w:tc>
          <w:tcPr>
            <w:tcW w:w="3474" w:type="dxa"/>
            <w:vAlign w:val="center"/>
          </w:tcPr>
          <w:p w:rsidR="00534919" w:rsidRPr="00A377E1" w:rsidRDefault="00534919" w:rsidP="00534919">
            <w:pPr>
              <w:jc w:val="center"/>
              <w:rPr>
                <w:b/>
                <w:sz w:val="24"/>
                <w:szCs w:val="24"/>
              </w:rPr>
            </w:pPr>
            <w:r w:rsidRPr="00A377E1">
              <w:rPr>
                <w:b/>
                <w:sz w:val="24"/>
                <w:szCs w:val="24"/>
              </w:rPr>
              <w:t>Subject</w:t>
            </w:r>
          </w:p>
        </w:tc>
        <w:tc>
          <w:tcPr>
            <w:tcW w:w="3209" w:type="dxa"/>
            <w:vAlign w:val="center"/>
          </w:tcPr>
          <w:p w:rsidR="00DA79E0" w:rsidRPr="00A377E1" w:rsidRDefault="009D685D" w:rsidP="008E5CD6">
            <w:pPr>
              <w:jc w:val="center"/>
              <w:rPr>
                <w:sz w:val="24"/>
                <w:szCs w:val="24"/>
              </w:rPr>
            </w:pPr>
            <w:r w:rsidRPr="00A377E1">
              <w:rPr>
                <w:sz w:val="24"/>
                <w:szCs w:val="24"/>
              </w:rPr>
              <w:t>Drama</w:t>
            </w:r>
          </w:p>
        </w:tc>
      </w:tr>
      <w:tr w:rsidR="00C755FB" w:rsidRPr="00A377E1" w:rsidTr="006618BC">
        <w:tc>
          <w:tcPr>
            <w:tcW w:w="2333" w:type="dxa"/>
            <w:vAlign w:val="center"/>
          </w:tcPr>
          <w:p w:rsidR="00534919" w:rsidRPr="00A377E1" w:rsidRDefault="00534919" w:rsidP="00534919">
            <w:pPr>
              <w:jc w:val="center"/>
              <w:rPr>
                <w:sz w:val="24"/>
                <w:szCs w:val="24"/>
              </w:rPr>
            </w:pPr>
          </w:p>
        </w:tc>
        <w:tc>
          <w:tcPr>
            <w:tcW w:w="3474" w:type="dxa"/>
            <w:vAlign w:val="center"/>
          </w:tcPr>
          <w:p w:rsidR="00534919" w:rsidRPr="00A377E1" w:rsidRDefault="00534919" w:rsidP="00534919">
            <w:pPr>
              <w:jc w:val="center"/>
              <w:rPr>
                <w:b/>
                <w:sz w:val="24"/>
                <w:szCs w:val="24"/>
              </w:rPr>
            </w:pPr>
            <w:r w:rsidRPr="00A377E1">
              <w:rPr>
                <w:b/>
                <w:sz w:val="24"/>
                <w:szCs w:val="24"/>
              </w:rPr>
              <w:t>Examination Board</w:t>
            </w:r>
          </w:p>
        </w:tc>
        <w:tc>
          <w:tcPr>
            <w:tcW w:w="3209" w:type="dxa"/>
            <w:vAlign w:val="center"/>
          </w:tcPr>
          <w:p w:rsidR="00534919" w:rsidRPr="00A377E1" w:rsidRDefault="009D685D" w:rsidP="00534919">
            <w:pPr>
              <w:jc w:val="center"/>
              <w:rPr>
                <w:sz w:val="24"/>
                <w:szCs w:val="24"/>
              </w:rPr>
            </w:pPr>
            <w:r w:rsidRPr="00A377E1">
              <w:rPr>
                <w:sz w:val="24"/>
                <w:szCs w:val="24"/>
              </w:rPr>
              <w:t>OCR</w:t>
            </w:r>
          </w:p>
        </w:tc>
      </w:tr>
      <w:tr w:rsidR="00C755FB" w:rsidRPr="00A377E1" w:rsidTr="006618BC">
        <w:trPr>
          <w:trHeight w:val="700"/>
        </w:trPr>
        <w:tc>
          <w:tcPr>
            <w:tcW w:w="2333" w:type="dxa"/>
            <w:vAlign w:val="center"/>
          </w:tcPr>
          <w:p w:rsidR="00534919" w:rsidRPr="00A377E1" w:rsidRDefault="00534919" w:rsidP="00534919">
            <w:pPr>
              <w:jc w:val="center"/>
              <w:rPr>
                <w:sz w:val="24"/>
                <w:szCs w:val="24"/>
              </w:rPr>
            </w:pPr>
          </w:p>
        </w:tc>
        <w:tc>
          <w:tcPr>
            <w:tcW w:w="3474" w:type="dxa"/>
            <w:vAlign w:val="center"/>
          </w:tcPr>
          <w:p w:rsidR="00534919" w:rsidRPr="00A377E1" w:rsidRDefault="00534919" w:rsidP="00534919">
            <w:pPr>
              <w:jc w:val="center"/>
              <w:rPr>
                <w:b/>
                <w:sz w:val="24"/>
                <w:szCs w:val="24"/>
              </w:rPr>
            </w:pPr>
            <w:r w:rsidRPr="00A377E1">
              <w:rPr>
                <w:b/>
                <w:sz w:val="24"/>
                <w:szCs w:val="24"/>
              </w:rPr>
              <w:t>Head of Department</w:t>
            </w:r>
          </w:p>
        </w:tc>
        <w:tc>
          <w:tcPr>
            <w:tcW w:w="3209" w:type="dxa"/>
            <w:vAlign w:val="center"/>
          </w:tcPr>
          <w:p w:rsidR="00534919" w:rsidRPr="00A377E1" w:rsidRDefault="009D685D" w:rsidP="00B0111B">
            <w:pPr>
              <w:jc w:val="center"/>
              <w:rPr>
                <w:sz w:val="24"/>
                <w:szCs w:val="24"/>
              </w:rPr>
            </w:pPr>
            <w:r w:rsidRPr="00A377E1">
              <w:rPr>
                <w:sz w:val="24"/>
                <w:szCs w:val="24"/>
              </w:rPr>
              <w:t>Mrs Laura Blake</w:t>
            </w:r>
          </w:p>
        </w:tc>
      </w:tr>
      <w:tr w:rsidR="00C755FB" w:rsidRPr="00A377E1" w:rsidTr="006618BC">
        <w:tc>
          <w:tcPr>
            <w:tcW w:w="2333" w:type="dxa"/>
            <w:vAlign w:val="center"/>
          </w:tcPr>
          <w:p w:rsidR="00534919" w:rsidRPr="00A377E1" w:rsidRDefault="00534919" w:rsidP="00534919">
            <w:pPr>
              <w:jc w:val="center"/>
              <w:rPr>
                <w:sz w:val="24"/>
                <w:szCs w:val="24"/>
              </w:rPr>
            </w:pPr>
          </w:p>
        </w:tc>
        <w:tc>
          <w:tcPr>
            <w:tcW w:w="3474" w:type="dxa"/>
            <w:vAlign w:val="center"/>
          </w:tcPr>
          <w:p w:rsidR="00534919" w:rsidRPr="00A377E1" w:rsidRDefault="00534919" w:rsidP="00534919">
            <w:pPr>
              <w:jc w:val="center"/>
              <w:rPr>
                <w:b/>
                <w:sz w:val="24"/>
                <w:szCs w:val="24"/>
              </w:rPr>
            </w:pPr>
            <w:r w:rsidRPr="00A377E1">
              <w:rPr>
                <w:b/>
                <w:sz w:val="24"/>
                <w:szCs w:val="24"/>
              </w:rPr>
              <w:t>Accreditation Level (e.g. GCSE Level 2, BTEC Level 2)</w:t>
            </w:r>
          </w:p>
        </w:tc>
        <w:tc>
          <w:tcPr>
            <w:tcW w:w="3209" w:type="dxa"/>
            <w:vAlign w:val="center"/>
          </w:tcPr>
          <w:p w:rsidR="00534919" w:rsidRPr="00A377E1" w:rsidRDefault="009D685D" w:rsidP="00534919">
            <w:pPr>
              <w:jc w:val="center"/>
              <w:rPr>
                <w:sz w:val="24"/>
                <w:szCs w:val="24"/>
              </w:rPr>
            </w:pPr>
            <w:r w:rsidRPr="00A377E1">
              <w:rPr>
                <w:sz w:val="24"/>
                <w:szCs w:val="24"/>
              </w:rPr>
              <w:t>GCSE</w:t>
            </w:r>
          </w:p>
        </w:tc>
      </w:tr>
      <w:tr w:rsidR="00D14F67" w:rsidRPr="00A377E1" w:rsidTr="006618BC">
        <w:tc>
          <w:tcPr>
            <w:tcW w:w="2333" w:type="dxa"/>
            <w:vAlign w:val="center"/>
          </w:tcPr>
          <w:p w:rsidR="00D14F67" w:rsidRPr="00A377E1" w:rsidRDefault="00D14F67" w:rsidP="00534919">
            <w:pPr>
              <w:jc w:val="center"/>
              <w:rPr>
                <w:sz w:val="24"/>
                <w:szCs w:val="24"/>
              </w:rPr>
            </w:pPr>
          </w:p>
        </w:tc>
        <w:tc>
          <w:tcPr>
            <w:tcW w:w="3474" w:type="dxa"/>
            <w:vAlign w:val="center"/>
          </w:tcPr>
          <w:p w:rsidR="00D14F67" w:rsidRPr="00A377E1" w:rsidRDefault="00D14F67" w:rsidP="00534919">
            <w:pPr>
              <w:jc w:val="center"/>
              <w:rPr>
                <w:b/>
                <w:sz w:val="24"/>
                <w:szCs w:val="24"/>
              </w:rPr>
            </w:pPr>
            <w:r w:rsidRPr="00A377E1">
              <w:rPr>
                <w:b/>
                <w:sz w:val="24"/>
                <w:szCs w:val="24"/>
              </w:rPr>
              <w:t>Number of qualifications?</w:t>
            </w:r>
          </w:p>
        </w:tc>
        <w:tc>
          <w:tcPr>
            <w:tcW w:w="3209" w:type="dxa"/>
            <w:vAlign w:val="center"/>
          </w:tcPr>
          <w:p w:rsidR="00D14F67" w:rsidRPr="00A377E1" w:rsidRDefault="009D685D" w:rsidP="00534919">
            <w:pPr>
              <w:jc w:val="center"/>
              <w:rPr>
                <w:sz w:val="24"/>
                <w:szCs w:val="24"/>
              </w:rPr>
            </w:pPr>
            <w:r w:rsidRPr="00A377E1">
              <w:rPr>
                <w:sz w:val="24"/>
                <w:szCs w:val="24"/>
              </w:rPr>
              <w:t>1</w:t>
            </w:r>
          </w:p>
        </w:tc>
      </w:tr>
      <w:tr w:rsidR="00C755FB" w:rsidRPr="00A377E1" w:rsidTr="006618BC">
        <w:tc>
          <w:tcPr>
            <w:tcW w:w="2333" w:type="dxa"/>
            <w:vMerge w:val="restart"/>
            <w:vAlign w:val="center"/>
          </w:tcPr>
          <w:p w:rsidR="00B01FDD" w:rsidRPr="00A377E1" w:rsidRDefault="00B01FDD" w:rsidP="00534919">
            <w:pPr>
              <w:jc w:val="center"/>
              <w:rPr>
                <w:sz w:val="24"/>
                <w:szCs w:val="24"/>
              </w:rPr>
            </w:pPr>
            <w:r w:rsidRPr="00A377E1">
              <w:rPr>
                <w:sz w:val="24"/>
                <w:szCs w:val="24"/>
              </w:rPr>
              <w:t>Exam Information</w:t>
            </w:r>
          </w:p>
        </w:tc>
        <w:tc>
          <w:tcPr>
            <w:tcW w:w="3474" w:type="dxa"/>
            <w:vAlign w:val="center"/>
          </w:tcPr>
          <w:p w:rsidR="00B01FDD" w:rsidRPr="00A377E1" w:rsidRDefault="00B01FDD" w:rsidP="00D14F67">
            <w:pPr>
              <w:jc w:val="center"/>
              <w:rPr>
                <w:b/>
                <w:sz w:val="24"/>
                <w:szCs w:val="24"/>
              </w:rPr>
            </w:pPr>
            <w:r w:rsidRPr="00A377E1">
              <w:rPr>
                <w:b/>
                <w:sz w:val="24"/>
                <w:szCs w:val="24"/>
              </w:rPr>
              <w:t xml:space="preserve">How many </w:t>
            </w:r>
            <w:r w:rsidR="00D14F67" w:rsidRPr="00A377E1">
              <w:rPr>
                <w:b/>
                <w:sz w:val="24"/>
                <w:szCs w:val="24"/>
              </w:rPr>
              <w:t>exams</w:t>
            </w:r>
            <w:r w:rsidRPr="00A377E1">
              <w:rPr>
                <w:b/>
                <w:sz w:val="24"/>
                <w:szCs w:val="24"/>
              </w:rPr>
              <w:t>?</w:t>
            </w:r>
          </w:p>
        </w:tc>
        <w:tc>
          <w:tcPr>
            <w:tcW w:w="3209" w:type="dxa"/>
            <w:vAlign w:val="center"/>
          </w:tcPr>
          <w:p w:rsidR="00B01FDD" w:rsidRPr="00A377E1" w:rsidRDefault="009D685D" w:rsidP="00534919">
            <w:pPr>
              <w:jc w:val="center"/>
              <w:rPr>
                <w:sz w:val="24"/>
                <w:szCs w:val="24"/>
              </w:rPr>
            </w:pPr>
            <w:r w:rsidRPr="00A377E1">
              <w:rPr>
                <w:sz w:val="24"/>
                <w:szCs w:val="24"/>
              </w:rPr>
              <w:t>1</w:t>
            </w:r>
          </w:p>
        </w:tc>
      </w:tr>
      <w:tr w:rsidR="00C755FB" w:rsidRPr="00A377E1" w:rsidTr="006618BC">
        <w:tc>
          <w:tcPr>
            <w:tcW w:w="2333" w:type="dxa"/>
            <w:vMerge/>
            <w:vAlign w:val="center"/>
          </w:tcPr>
          <w:p w:rsidR="00B01FDD" w:rsidRPr="00A377E1" w:rsidRDefault="00B01FDD" w:rsidP="00534919">
            <w:pPr>
              <w:jc w:val="center"/>
              <w:rPr>
                <w:sz w:val="24"/>
                <w:szCs w:val="24"/>
              </w:rPr>
            </w:pPr>
          </w:p>
        </w:tc>
        <w:tc>
          <w:tcPr>
            <w:tcW w:w="3474" w:type="dxa"/>
            <w:vAlign w:val="center"/>
          </w:tcPr>
          <w:p w:rsidR="00B01FDD" w:rsidRPr="00A377E1" w:rsidRDefault="00B01FDD" w:rsidP="00534919">
            <w:pPr>
              <w:jc w:val="center"/>
              <w:rPr>
                <w:b/>
                <w:sz w:val="24"/>
                <w:szCs w:val="24"/>
              </w:rPr>
            </w:pPr>
            <w:r w:rsidRPr="00A377E1">
              <w:rPr>
                <w:b/>
                <w:sz w:val="24"/>
                <w:szCs w:val="24"/>
              </w:rPr>
              <w:t>When taken?</w:t>
            </w:r>
          </w:p>
        </w:tc>
        <w:tc>
          <w:tcPr>
            <w:tcW w:w="3209" w:type="dxa"/>
            <w:vAlign w:val="center"/>
          </w:tcPr>
          <w:p w:rsidR="00B01FDD" w:rsidRPr="00A377E1" w:rsidRDefault="00AD6FAB" w:rsidP="00534919">
            <w:pPr>
              <w:jc w:val="center"/>
              <w:rPr>
                <w:sz w:val="24"/>
                <w:szCs w:val="24"/>
              </w:rPr>
            </w:pPr>
            <w:r w:rsidRPr="00A377E1">
              <w:rPr>
                <w:sz w:val="24"/>
                <w:szCs w:val="24"/>
              </w:rPr>
              <w:t>A316/04 - May/June (Year 11)</w:t>
            </w:r>
          </w:p>
        </w:tc>
      </w:tr>
      <w:tr w:rsidR="00C755FB" w:rsidRPr="00A377E1" w:rsidTr="006618BC">
        <w:tc>
          <w:tcPr>
            <w:tcW w:w="2333" w:type="dxa"/>
            <w:vMerge/>
            <w:vAlign w:val="center"/>
          </w:tcPr>
          <w:p w:rsidR="00B01FDD" w:rsidRPr="00A377E1" w:rsidRDefault="00B01FDD" w:rsidP="00534919">
            <w:pPr>
              <w:jc w:val="center"/>
              <w:rPr>
                <w:sz w:val="24"/>
                <w:szCs w:val="24"/>
              </w:rPr>
            </w:pPr>
          </w:p>
        </w:tc>
        <w:tc>
          <w:tcPr>
            <w:tcW w:w="3474" w:type="dxa"/>
            <w:vAlign w:val="center"/>
          </w:tcPr>
          <w:p w:rsidR="00B01FDD" w:rsidRPr="00A377E1" w:rsidRDefault="00B01FDD" w:rsidP="00534919">
            <w:pPr>
              <w:jc w:val="center"/>
              <w:rPr>
                <w:b/>
                <w:sz w:val="24"/>
                <w:szCs w:val="24"/>
              </w:rPr>
            </w:pPr>
            <w:r w:rsidRPr="00A377E1">
              <w:rPr>
                <w:b/>
                <w:sz w:val="24"/>
                <w:szCs w:val="24"/>
              </w:rPr>
              <w:t>Percentage of final mark</w:t>
            </w:r>
          </w:p>
        </w:tc>
        <w:tc>
          <w:tcPr>
            <w:tcW w:w="3209" w:type="dxa"/>
            <w:vAlign w:val="center"/>
          </w:tcPr>
          <w:p w:rsidR="00B01FDD" w:rsidRPr="00A377E1" w:rsidRDefault="009D685D" w:rsidP="00534919">
            <w:pPr>
              <w:jc w:val="center"/>
              <w:rPr>
                <w:sz w:val="24"/>
                <w:szCs w:val="24"/>
              </w:rPr>
            </w:pPr>
            <w:r w:rsidRPr="00A377E1">
              <w:rPr>
                <w:sz w:val="24"/>
                <w:szCs w:val="24"/>
              </w:rPr>
              <w:t>40%</w:t>
            </w:r>
          </w:p>
        </w:tc>
      </w:tr>
      <w:tr w:rsidR="00C755FB" w:rsidRPr="00A377E1" w:rsidTr="006618BC">
        <w:tc>
          <w:tcPr>
            <w:tcW w:w="2333" w:type="dxa"/>
            <w:vMerge w:val="restart"/>
            <w:vAlign w:val="center"/>
          </w:tcPr>
          <w:p w:rsidR="0068542C" w:rsidRPr="00A377E1" w:rsidRDefault="0068542C" w:rsidP="0068542C">
            <w:pPr>
              <w:jc w:val="center"/>
              <w:rPr>
                <w:sz w:val="24"/>
                <w:szCs w:val="24"/>
              </w:rPr>
            </w:pPr>
            <w:r w:rsidRPr="00A377E1">
              <w:rPr>
                <w:sz w:val="24"/>
                <w:szCs w:val="24"/>
              </w:rPr>
              <w:t>Controlled Assignment Information</w:t>
            </w:r>
          </w:p>
        </w:tc>
        <w:tc>
          <w:tcPr>
            <w:tcW w:w="3474" w:type="dxa"/>
            <w:vAlign w:val="center"/>
          </w:tcPr>
          <w:p w:rsidR="0068542C" w:rsidRPr="00A377E1" w:rsidRDefault="0068542C" w:rsidP="00534919">
            <w:pPr>
              <w:jc w:val="center"/>
              <w:rPr>
                <w:b/>
                <w:sz w:val="24"/>
                <w:szCs w:val="24"/>
              </w:rPr>
            </w:pPr>
            <w:r w:rsidRPr="00A377E1">
              <w:rPr>
                <w:b/>
                <w:sz w:val="24"/>
                <w:szCs w:val="24"/>
              </w:rPr>
              <w:t>How many assignments?</w:t>
            </w:r>
          </w:p>
        </w:tc>
        <w:tc>
          <w:tcPr>
            <w:tcW w:w="3209" w:type="dxa"/>
            <w:vAlign w:val="center"/>
          </w:tcPr>
          <w:p w:rsidR="0068542C" w:rsidRPr="00A377E1" w:rsidRDefault="009D685D" w:rsidP="00534919">
            <w:pPr>
              <w:jc w:val="center"/>
              <w:rPr>
                <w:sz w:val="24"/>
                <w:szCs w:val="24"/>
              </w:rPr>
            </w:pPr>
            <w:r w:rsidRPr="00A377E1">
              <w:rPr>
                <w:sz w:val="24"/>
                <w:szCs w:val="24"/>
              </w:rPr>
              <w:t>2</w:t>
            </w:r>
          </w:p>
        </w:tc>
      </w:tr>
      <w:tr w:rsidR="00C755FB" w:rsidRPr="00A377E1" w:rsidTr="006618BC">
        <w:tc>
          <w:tcPr>
            <w:tcW w:w="2333" w:type="dxa"/>
            <w:vMerge/>
            <w:vAlign w:val="center"/>
          </w:tcPr>
          <w:p w:rsidR="0068542C" w:rsidRPr="00A377E1" w:rsidRDefault="0068542C" w:rsidP="0011228E">
            <w:pPr>
              <w:jc w:val="center"/>
              <w:rPr>
                <w:sz w:val="24"/>
                <w:szCs w:val="24"/>
              </w:rPr>
            </w:pPr>
          </w:p>
        </w:tc>
        <w:tc>
          <w:tcPr>
            <w:tcW w:w="3474" w:type="dxa"/>
            <w:vAlign w:val="center"/>
          </w:tcPr>
          <w:p w:rsidR="0068542C" w:rsidRPr="00A377E1" w:rsidRDefault="0068542C" w:rsidP="00534919">
            <w:pPr>
              <w:jc w:val="center"/>
              <w:rPr>
                <w:b/>
                <w:sz w:val="24"/>
                <w:szCs w:val="24"/>
              </w:rPr>
            </w:pPr>
            <w:r w:rsidRPr="00A377E1">
              <w:rPr>
                <w:b/>
                <w:sz w:val="24"/>
                <w:szCs w:val="24"/>
              </w:rPr>
              <w:t>When taken?</w:t>
            </w:r>
          </w:p>
        </w:tc>
        <w:tc>
          <w:tcPr>
            <w:tcW w:w="3209" w:type="dxa"/>
            <w:vAlign w:val="center"/>
          </w:tcPr>
          <w:p w:rsidR="0068542C" w:rsidRPr="00A377E1" w:rsidRDefault="009D685D" w:rsidP="00534919">
            <w:pPr>
              <w:jc w:val="center"/>
              <w:rPr>
                <w:sz w:val="24"/>
                <w:szCs w:val="24"/>
              </w:rPr>
            </w:pPr>
            <w:r w:rsidRPr="00A377E1">
              <w:rPr>
                <w:sz w:val="24"/>
                <w:szCs w:val="24"/>
              </w:rPr>
              <w:t xml:space="preserve">A316/01/02 – March – June </w:t>
            </w:r>
            <w:r w:rsidR="00AD6FAB" w:rsidRPr="00A377E1">
              <w:rPr>
                <w:sz w:val="24"/>
                <w:szCs w:val="24"/>
              </w:rPr>
              <w:t>(Year 10)</w:t>
            </w:r>
          </w:p>
          <w:p w:rsidR="009D685D" w:rsidRPr="00A377E1" w:rsidRDefault="009D685D" w:rsidP="00534919">
            <w:pPr>
              <w:jc w:val="center"/>
              <w:rPr>
                <w:sz w:val="24"/>
                <w:szCs w:val="24"/>
              </w:rPr>
            </w:pPr>
            <w:r w:rsidRPr="00A377E1">
              <w:rPr>
                <w:sz w:val="24"/>
                <w:szCs w:val="24"/>
              </w:rPr>
              <w:t xml:space="preserve">A316/03 – Jan - April </w:t>
            </w:r>
            <w:r w:rsidR="00AD6FAB" w:rsidRPr="00A377E1">
              <w:rPr>
                <w:sz w:val="24"/>
                <w:szCs w:val="24"/>
              </w:rPr>
              <w:t>(Year 11)</w:t>
            </w:r>
          </w:p>
        </w:tc>
      </w:tr>
      <w:tr w:rsidR="00C755FB" w:rsidRPr="00A377E1" w:rsidTr="006618BC">
        <w:tc>
          <w:tcPr>
            <w:tcW w:w="2333" w:type="dxa"/>
            <w:vMerge/>
            <w:vAlign w:val="center"/>
          </w:tcPr>
          <w:p w:rsidR="0068542C" w:rsidRPr="00A377E1" w:rsidRDefault="0068542C" w:rsidP="0011228E">
            <w:pPr>
              <w:jc w:val="center"/>
              <w:rPr>
                <w:sz w:val="24"/>
                <w:szCs w:val="24"/>
              </w:rPr>
            </w:pPr>
          </w:p>
        </w:tc>
        <w:tc>
          <w:tcPr>
            <w:tcW w:w="3474" w:type="dxa"/>
            <w:vAlign w:val="center"/>
          </w:tcPr>
          <w:p w:rsidR="0068542C" w:rsidRPr="00A377E1" w:rsidRDefault="0068542C" w:rsidP="00534919">
            <w:pPr>
              <w:jc w:val="center"/>
              <w:rPr>
                <w:b/>
                <w:sz w:val="24"/>
                <w:szCs w:val="24"/>
              </w:rPr>
            </w:pPr>
            <w:r w:rsidRPr="00A377E1">
              <w:rPr>
                <w:b/>
                <w:sz w:val="24"/>
                <w:szCs w:val="24"/>
              </w:rPr>
              <w:t>Percentage of final mark</w:t>
            </w:r>
          </w:p>
        </w:tc>
        <w:tc>
          <w:tcPr>
            <w:tcW w:w="3209" w:type="dxa"/>
            <w:vAlign w:val="center"/>
          </w:tcPr>
          <w:p w:rsidR="0068542C" w:rsidRPr="00A377E1" w:rsidRDefault="009D685D" w:rsidP="00534919">
            <w:pPr>
              <w:jc w:val="center"/>
              <w:rPr>
                <w:sz w:val="24"/>
                <w:szCs w:val="24"/>
              </w:rPr>
            </w:pPr>
            <w:r w:rsidRPr="00A377E1">
              <w:rPr>
                <w:sz w:val="24"/>
                <w:szCs w:val="24"/>
              </w:rPr>
              <w:t>60%</w:t>
            </w:r>
          </w:p>
        </w:tc>
      </w:tr>
      <w:tr w:rsidR="0068542C" w:rsidRPr="00A377E1" w:rsidTr="006618BC">
        <w:tc>
          <w:tcPr>
            <w:tcW w:w="2333" w:type="dxa"/>
            <w:vAlign w:val="center"/>
          </w:tcPr>
          <w:p w:rsidR="0068542C" w:rsidRPr="00A377E1" w:rsidRDefault="0068542C" w:rsidP="0011228E">
            <w:pPr>
              <w:jc w:val="center"/>
              <w:rPr>
                <w:sz w:val="24"/>
                <w:szCs w:val="24"/>
              </w:rPr>
            </w:pPr>
            <w:r w:rsidRPr="00A377E1">
              <w:rPr>
                <w:sz w:val="24"/>
                <w:szCs w:val="24"/>
              </w:rPr>
              <w:t>Brief Outline of Subject</w:t>
            </w:r>
          </w:p>
        </w:tc>
        <w:tc>
          <w:tcPr>
            <w:tcW w:w="6683" w:type="dxa"/>
            <w:gridSpan w:val="2"/>
            <w:vAlign w:val="center"/>
          </w:tcPr>
          <w:p w:rsidR="009D685D" w:rsidRPr="00A377E1" w:rsidRDefault="009D685D" w:rsidP="00AD6FAB">
            <w:pPr>
              <w:rPr>
                <w:sz w:val="24"/>
                <w:szCs w:val="24"/>
              </w:rPr>
            </w:pPr>
            <w:r w:rsidRPr="00A377E1">
              <w:rPr>
                <w:sz w:val="24"/>
                <w:szCs w:val="24"/>
              </w:rPr>
              <w:t>The Drama GCSE is split into three units:</w:t>
            </w:r>
          </w:p>
          <w:p w:rsidR="009D685D" w:rsidRPr="00A377E1" w:rsidRDefault="009D685D" w:rsidP="00A377E1">
            <w:pPr>
              <w:pStyle w:val="ListParagraph"/>
              <w:numPr>
                <w:ilvl w:val="0"/>
                <w:numId w:val="1"/>
              </w:numPr>
              <w:rPr>
                <w:sz w:val="24"/>
                <w:szCs w:val="24"/>
              </w:rPr>
            </w:pPr>
            <w:r w:rsidRPr="00A377E1">
              <w:rPr>
                <w:b/>
                <w:sz w:val="24"/>
                <w:szCs w:val="24"/>
              </w:rPr>
              <w:t>Devising Drama</w:t>
            </w:r>
            <w:r w:rsidRPr="00A377E1">
              <w:rPr>
                <w:sz w:val="24"/>
                <w:szCs w:val="24"/>
              </w:rPr>
              <w:t xml:space="preserve"> (30%) –</w:t>
            </w:r>
            <w:r w:rsidR="006618BC" w:rsidRPr="00A377E1">
              <w:rPr>
                <w:sz w:val="24"/>
                <w:szCs w:val="24"/>
              </w:rPr>
              <w:t xml:space="preserve"> Students will research and explore a stimulus, work collaboratively and create their own devised drama. </w:t>
            </w:r>
            <w:r w:rsidRPr="00A377E1">
              <w:rPr>
                <w:sz w:val="24"/>
                <w:szCs w:val="24"/>
              </w:rPr>
              <w:t xml:space="preserve">Students are assessed on their ability to create, direct and perform or design their own drama. The performance is filmed and sent to the exam board for moderation along with a written portfolio. </w:t>
            </w:r>
          </w:p>
          <w:p w:rsidR="009D685D" w:rsidRPr="00A377E1" w:rsidRDefault="009D685D" w:rsidP="00A377E1">
            <w:pPr>
              <w:pStyle w:val="ListParagraph"/>
              <w:numPr>
                <w:ilvl w:val="0"/>
                <w:numId w:val="1"/>
              </w:numPr>
              <w:rPr>
                <w:sz w:val="24"/>
                <w:szCs w:val="24"/>
              </w:rPr>
            </w:pPr>
            <w:r w:rsidRPr="00A377E1">
              <w:rPr>
                <w:b/>
                <w:sz w:val="24"/>
                <w:szCs w:val="24"/>
              </w:rPr>
              <w:t xml:space="preserve">Presenting and </w:t>
            </w:r>
            <w:r w:rsidR="006618BC" w:rsidRPr="00A377E1">
              <w:rPr>
                <w:b/>
                <w:sz w:val="24"/>
                <w:szCs w:val="24"/>
              </w:rPr>
              <w:t>performing</w:t>
            </w:r>
            <w:r w:rsidRPr="00A377E1">
              <w:rPr>
                <w:b/>
                <w:sz w:val="24"/>
                <w:szCs w:val="24"/>
              </w:rPr>
              <w:t xml:space="preserve"> text </w:t>
            </w:r>
            <w:r w:rsidRPr="00A377E1">
              <w:rPr>
                <w:sz w:val="24"/>
                <w:szCs w:val="24"/>
              </w:rPr>
              <w:t xml:space="preserve">(30%) – </w:t>
            </w:r>
            <w:r w:rsidR="006618BC" w:rsidRPr="00A377E1">
              <w:rPr>
                <w:sz w:val="24"/>
                <w:szCs w:val="24"/>
              </w:rPr>
              <w:t xml:space="preserve">Students develop and apply theatrical skills in acting or design by presenting a showcase of two extracts from a performance text. </w:t>
            </w:r>
            <w:r w:rsidRPr="00A377E1">
              <w:rPr>
                <w:sz w:val="24"/>
                <w:szCs w:val="24"/>
              </w:rPr>
              <w:t xml:space="preserve">A visiting examiner will assess this as a live performance. </w:t>
            </w:r>
          </w:p>
          <w:p w:rsidR="0068542C" w:rsidRPr="00A377E1" w:rsidRDefault="006618BC" w:rsidP="006618BC">
            <w:pPr>
              <w:pStyle w:val="ListParagraph"/>
              <w:numPr>
                <w:ilvl w:val="0"/>
                <w:numId w:val="1"/>
              </w:numPr>
              <w:rPr>
                <w:sz w:val="24"/>
                <w:szCs w:val="24"/>
              </w:rPr>
            </w:pPr>
            <w:r w:rsidRPr="00A377E1">
              <w:rPr>
                <w:b/>
                <w:sz w:val="24"/>
                <w:szCs w:val="24"/>
              </w:rPr>
              <w:t>Performance and Response</w:t>
            </w:r>
            <w:r w:rsidRPr="00A377E1">
              <w:rPr>
                <w:sz w:val="24"/>
                <w:szCs w:val="24"/>
              </w:rPr>
              <w:t xml:space="preserve"> (40%) - Students will explore practically the p</w:t>
            </w:r>
            <w:r w:rsidR="00A377E1" w:rsidRPr="00A377E1">
              <w:rPr>
                <w:sz w:val="24"/>
                <w:szCs w:val="24"/>
              </w:rPr>
              <w:t>erformance text Blood B</w:t>
            </w:r>
            <w:r w:rsidRPr="00A377E1">
              <w:rPr>
                <w:sz w:val="24"/>
                <w:szCs w:val="24"/>
              </w:rPr>
              <w:t>rothers to demonstrate their knowledge and understanding of drama. Students will analyse and evaluate a live theatre performance.</w:t>
            </w:r>
            <w:r w:rsidR="00A377E1">
              <w:rPr>
                <w:sz w:val="24"/>
                <w:szCs w:val="24"/>
              </w:rPr>
              <w:t xml:space="preserve"> (This is a written paper)</w:t>
            </w:r>
          </w:p>
        </w:tc>
      </w:tr>
      <w:tr w:rsidR="0068542C" w:rsidRPr="00A377E1" w:rsidTr="006618BC">
        <w:tc>
          <w:tcPr>
            <w:tcW w:w="2333" w:type="dxa"/>
            <w:vAlign w:val="center"/>
          </w:tcPr>
          <w:p w:rsidR="0068542C" w:rsidRPr="00A377E1" w:rsidRDefault="0068542C" w:rsidP="0011228E">
            <w:pPr>
              <w:jc w:val="center"/>
              <w:rPr>
                <w:sz w:val="24"/>
                <w:szCs w:val="24"/>
              </w:rPr>
            </w:pPr>
            <w:r w:rsidRPr="00A377E1">
              <w:rPr>
                <w:sz w:val="24"/>
                <w:szCs w:val="24"/>
              </w:rPr>
              <w:t xml:space="preserve">Post-16 Progression Routes </w:t>
            </w:r>
          </w:p>
        </w:tc>
        <w:tc>
          <w:tcPr>
            <w:tcW w:w="6683" w:type="dxa"/>
            <w:gridSpan w:val="2"/>
            <w:vAlign w:val="center"/>
          </w:tcPr>
          <w:p w:rsidR="0068542C" w:rsidRPr="00A377E1" w:rsidRDefault="00AD6FAB" w:rsidP="0068542C">
            <w:pPr>
              <w:rPr>
                <w:sz w:val="24"/>
                <w:szCs w:val="24"/>
              </w:rPr>
            </w:pPr>
            <w:r w:rsidRPr="00A377E1">
              <w:rPr>
                <w:sz w:val="24"/>
                <w:szCs w:val="24"/>
              </w:rPr>
              <w:t xml:space="preserve">This course prepares students to go on </w:t>
            </w:r>
            <w:r w:rsidR="004D5EBC">
              <w:rPr>
                <w:sz w:val="24"/>
                <w:szCs w:val="24"/>
              </w:rPr>
              <w:t>to study A-L</w:t>
            </w:r>
            <w:bookmarkStart w:id="0" w:name="_GoBack"/>
            <w:bookmarkEnd w:id="0"/>
            <w:r w:rsidRPr="00A377E1">
              <w:rPr>
                <w:sz w:val="24"/>
                <w:szCs w:val="24"/>
              </w:rPr>
              <w:t>evel Drama &amp; Theatre Studies and BTEC Performing Arts. In addition, it is fully accepted as one of your GCSE passes (level 4 and above) to enable students to access alternative A ‘level courses and Level 3 qualifications.</w:t>
            </w:r>
          </w:p>
        </w:tc>
      </w:tr>
      <w:tr w:rsidR="0068542C" w:rsidRPr="00A377E1" w:rsidTr="006618BC">
        <w:tc>
          <w:tcPr>
            <w:tcW w:w="2333" w:type="dxa"/>
            <w:vAlign w:val="center"/>
          </w:tcPr>
          <w:p w:rsidR="0068542C" w:rsidRPr="00A377E1" w:rsidRDefault="0068542C" w:rsidP="0011228E">
            <w:pPr>
              <w:jc w:val="center"/>
              <w:rPr>
                <w:sz w:val="24"/>
                <w:szCs w:val="24"/>
              </w:rPr>
            </w:pPr>
            <w:r w:rsidRPr="00A377E1">
              <w:rPr>
                <w:sz w:val="24"/>
                <w:szCs w:val="24"/>
              </w:rPr>
              <w:t>Relevant Information</w:t>
            </w:r>
          </w:p>
        </w:tc>
        <w:tc>
          <w:tcPr>
            <w:tcW w:w="6683" w:type="dxa"/>
            <w:gridSpan w:val="2"/>
            <w:vAlign w:val="center"/>
          </w:tcPr>
          <w:p w:rsidR="00A377E1" w:rsidRPr="00A377E1" w:rsidRDefault="00AD6FAB" w:rsidP="0068542C">
            <w:pPr>
              <w:rPr>
                <w:sz w:val="24"/>
                <w:szCs w:val="24"/>
              </w:rPr>
            </w:pPr>
            <w:r w:rsidRPr="00A377E1">
              <w:rPr>
                <w:sz w:val="24"/>
                <w:szCs w:val="24"/>
              </w:rPr>
              <w:t>This GCSE will suit students who are both practically and academically able</w:t>
            </w:r>
            <w:r w:rsidR="00BD534E" w:rsidRPr="00A377E1">
              <w:rPr>
                <w:sz w:val="24"/>
                <w:szCs w:val="24"/>
              </w:rPr>
              <w:t xml:space="preserve"> in Drama</w:t>
            </w:r>
            <w:r w:rsidRPr="00A377E1">
              <w:rPr>
                <w:sz w:val="24"/>
                <w:szCs w:val="24"/>
              </w:rPr>
              <w:t>.</w:t>
            </w:r>
          </w:p>
        </w:tc>
      </w:tr>
    </w:tbl>
    <w:p w:rsidR="00534919" w:rsidRPr="00A377E1" w:rsidRDefault="00534919">
      <w:pPr>
        <w:rPr>
          <w:sz w:val="24"/>
          <w:szCs w:val="24"/>
        </w:rPr>
      </w:pPr>
    </w:p>
    <w:sectPr w:rsidR="00534919" w:rsidRPr="00A377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9A" w:rsidRDefault="0064349A" w:rsidP="00534919">
      <w:pPr>
        <w:spacing w:after="0" w:line="240" w:lineRule="auto"/>
      </w:pPr>
      <w:r>
        <w:separator/>
      </w:r>
    </w:p>
  </w:endnote>
  <w:endnote w:type="continuationSeparator" w:id="0">
    <w:p w:rsidR="0064349A" w:rsidRDefault="0064349A"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9A" w:rsidRDefault="0064349A" w:rsidP="00534919">
      <w:pPr>
        <w:spacing w:after="0" w:line="240" w:lineRule="auto"/>
      </w:pPr>
      <w:r>
        <w:separator/>
      </w:r>
    </w:p>
  </w:footnote>
  <w:footnote w:type="continuationSeparator" w:id="0">
    <w:p w:rsidR="0064349A" w:rsidRDefault="0064349A"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45D9FFE2" wp14:editId="573A57F1">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74C"/>
    <w:multiLevelType w:val="hybridMultilevel"/>
    <w:tmpl w:val="FC0C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92A4F"/>
    <w:rsid w:val="002A024D"/>
    <w:rsid w:val="002B77C1"/>
    <w:rsid w:val="002E4D7C"/>
    <w:rsid w:val="00306DFF"/>
    <w:rsid w:val="004D5EBC"/>
    <w:rsid w:val="00513F26"/>
    <w:rsid w:val="00534919"/>
    <w:rsid w:val="0064349A"/>
    <w:rsid w:val="006618BC"/>
    <w:rsid w:val="0066262E"/>
    <w:rsid w:val="0068542C"/>
    <w:rsid w:val="00766276"/>
    <w:rsid w:val="008E5CD6"/>
    <w:rsid w:val="00985E5C"/>
    <w:rsid w:val="009D685D"/>
    <w:rsid w:val="00A377E1"/>
    <w:rsid w:val="00AD6FAB"/>
    <w:rsid w:val="00B0111B"/>
    <w:rsid w:val="00B01FDD"/>
    <w:rsid w:val="00B07504"/>
    <w:rsid w:val="00B51208"/>
    <w:rsid w:val="00BD534E"/>
    <w:rsid w:val="00C5749C"/>
    <w:rsid w:val="00C755FB"/>
    <w:rsid w:val="00CD6160"/>
    <w:rsid w:val="00D14F67"/>
    <w:rsid w:val="00D338EA"/>
    <w:rsid w:val="00D40D9A"/>
    <w:rsid w:val="00D651CE"/>
    <w:rsid w:val="00DA79E0"/>
    <w:rsid w:val="00DD011F"/>
    <w:rsid w:val="00DE5F3D"/>
    <w:rsid w:val="00E3033F"/>
    <w:rsid w:val="00E3787C"/>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9D6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9D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3</cp:revision>
  <dcterms:created xsi:type="dcterms:W3CDTF">2018-03-18T14:36:00Z</dcterms:created>
  <dcterms:modified xsi:type="dcterms:W3CDTF">2018-04-12T10:03:00Z</dcterms:modified>
</cp:coreProperties>
</file>