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3F1D7" w14:textId="77777777"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D14F67">
        <w:rPr>
          <w:b/>
          <w:sz w:val="32"/>
          <w:szCs w:val="32"/>
        </w:rPr>
        <w:t>7</w:t>
      </w:r>
      <w:r w:rsidR="00534919" w:rsidRPr="00534919">
        <w:rPr>
          <w:b/>
          <w:sz w:val="32"/>
          <w:szCs w:val="32"/>
        </w:rPr>
        <w:t>-201</w:t>
      </w:r>
      <w:r w:rsidR="00D14F67">
        <w:rPr>
          <w:b/>
          <w:sz w:val="32"/>
          <w:szCs w:val="32"/>
        </w:rPr>
        <w:t>8</w:t>
      </w:r>
    </w:p>
    <w:p w14:paraId="1C21B9B2" w14:textId="77777777"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10768" w:type="dxa"/>
        <w:tblLook w:val="04A0" w:firstRow="1" w:lastRow="0" w:firstColumn="1" w:lastColumn="0" w:noHBand="0" w:noVBand="1"/>
      </w:tblPr>
      <w:tblGrid>
        <w:gridCol w:w="2331"/>
        <w:gridCol w:w="3320"/>
        <w:gridCol w:w="5117"/>
      </w:tblGrid>
      <w:tr w:rsidR="00C755FB" w14:paraId="6446C6FF" w14:textId="77777777" w:rsidTr="00284175">
        <w:tc>
          <w:tcPr>
            <w:tcW w:w="2331" w:type="dxa"/>
            <w:vAlign w:val="center"/>
          </w:tcPr>
          <w:p w14:paraId="54DDAD6A" w14:textId="77777777" w:rsidR="00534919" w:rsidRDefault="00534919" w:rsidP="00534919">
            <w:pPr>
              <w:jc w:val="center"/>
              <w:rPr>
                <w:sz w:val="28"/>
                <w:szCs w:val="28"/>
              </w:rPr>
            </w:pPr>
          </w:p>
        </w:tc>
        <w:tc>
          <w:tcPr>
            <w:tcW w:w="3320" w:type="dxa"/>
            <w:vAlign w:val="center"/>
          </w:tcPr>
          <w:p w14:paraId="5752ADD9" w14:textId="77777777" w:rsidR="00534919" w:rsidRPr="00534919" w:rsidRDefault="00534919" w:rsidP="00534919">
            <w:pPr>
              <w:jc w:val="center"/>
              <w:rPr>
                <w:b/>
                <w:sz w:val="28"/>
                <w:szCs w:val="28"/>
              </w:rPr>
            </w:pPr>
            <w:r w:rsidRPr="00534919">
              <w:rPr>
                <w:b/>
                <w:sz w:val="28"/>
                <w:szCs w:val="28"/>
              </w:rPr>
              <w:t>Subject</w:t>
            </w:r>
          </w:p>
        </w:tc>
        <w:tc>
          <w:tcPr>
            <w:tcW w:w="5117" w:type="dxa"/>
            <w:vAlign w:val="center"/>
          </w:tcPr>
          <w:p w14:paraId="19E43EB8" w14:textId="77777777" w:rsidR="00DA79E0" w:rsidRDefault="00A46F10" w:rsidP="008E5CD6">
            <w:pPr>
              <w:jc w:val="center"/>
              <w:rPr>
                <w:sz w:val="28"/>
                <w:szCs w:val="28"/>
              </w:rPr>
            </w:pPr>
            <w:r>
              <w:rPr>
                <w:sz w:val="28"/>
                <w:szCs w:val="28"/>
              </w:rPr>
              <w:t>Physical Education</w:t>
            </w:r>
          </w:p>
        </w:tc>
      </w:tr>
      <w:tr w:rsidR="00C755FB" w14:paraId="06FA6073" w14:textId="77777777" w:rsidTr="00284175">
        <w:tc>
          <w:tcPr>
            <w:tcW w:w="2331" w:type="dxa"/>
            <w:vAlign w:val="center"/>
          </w:tcPr>
          <w:p w14:paraId="0A4D20A6" w14:textId="77777777" w:rsidR="00534919" w:rsidRDefault="00534919" w:rsidP="00534919">
            <w:pPr>
              <w:jc w:val="center"/>
              <w:rPr>
                <w:sz w:val="28"/>
                <w:szCs w:val="28"/>
              </w:rPr>
            </w:pPr>
          </w:p>
        </w:tc>
        <w:tc>
          <w:tcPr>
            <w:tcW w:w="3320" w:type="dxa"/>
            <w:vAlign w:val="center"/>
          </w:tcPr>
          <w:p w14:paraId="4BEA2505" w14:textId="77777777" w:rsidR="00534919" w:rsidRPr="00534919" w:rsidRDefault="00534919" w:rsidP="00534919">
            <w:pPr>
              <w:jc w:val="center"/>
              <w:rPr>
                <w:b/>
                <w:sz w:val="28"/>
                <w:szCs w:val="28"/>
              </w:rPr>
            </w:pPr>
            <w:r w:rsidRPr="00534919">
              <w:rPr>
                <w:b/>
                <w:sz w:val="28"/>
                <w:szCs w:val="28"/>
              </w:rPr>
              <w:t>Examination Board</w:t>
            </w:r>
          </w:p>
        </w:tc>
        <w:tc>
          <w:tcPr>
            <w:tcW w:w="5117" w:type="dxa"/>
            <w:vAlign w:val="center"/>
          </w:tcPr>
          <w:p w14:paraId="709B0ACD" w14:textId="77777777" w:rsidR="00534919" w:rsidRDefault="00A46F10" w:rsidP="00534919">
            <w:pPr>
              <w:jc w:val="center"/>
              <w:rPr>
                <w:sz w:val="28"/>
                <w:szCs w:val="28"/>
              </w:rPr>
            </w:pPr>
            <w:r>
              <w:rPr>
                <w:sz w:val="28"/>
                <w:szCs w:val="28"/>
              </w:rPr>
              <w:t>AQA</w:t>
            </w:r>
          </w:p>
        </w:tc>
      </w:tr>
      <w:tr w:rsidR="00C755FB" w14:paraId="6FB4B859" w14:textId="77777777" w:rsidTr="00284175">
        <w:trPr>
          <w:trHeight w:val="700"/>
        </w:trPr>
        <w:tc>
          <w:tcPr>
            <w:tcW w:w="2331" w:type="dxa"/>
            <w:vAlign w:val="center"/>
          </w:tcPr>
          <w:p w14:paraId="4E52C690" w14:textId="77777777" w:rsidR="00534919" w:rsidRDefault="00534919" w:rsidP="00534919">
            <w:pPr>
              <w:jc w:val="center"/>
              <w:rPr>
                <w:sz w:val="28"/>
                <w:szCs w:val="28"/>
              </w:rPr>
            </w:pPr>
          </w:p>
        </w:tc>
        <w:tc>
          <w:tcPr>
            <w:tcW w:w="3320" w:type="dxa"/>
            <w:vAlign w:val="center"/>
          </w:tcPr>
          <w:p w14:paraId="58985149" w14:textId="77777777" w:rsidR="00534919" w:rsidRPr="00534919" w:rsidRDefault="00534919" w:rsidP="00534919">
            <w:pPr>
              <w:jc w:val="center"/>
              <w:rPr>
                <w:b/>
                <w:sz w:val="28"/>
                <w:szCs w:val="28"/>
              </w:rPr>
            </w:pPr>
            <w:r w:rsidRPr="00534919">
              <w:rPr>
                <w:b/>
                <w:sz w:val="28"/>
                <w:szCs w:val="28"/>
              </w:rPr>
              <w:t>Head of Department</w:t>
            </w:r>
          </w:p>
        </w:tc>
        <w:tc>
          <w:tcPr>
            <w:tcW w:w="5117" w:type="dxa"/>
            <w:vAlign w:val="center"/>
          </w:tcPr>
          <w:p w14:paraId="66734897" w14:textId="77777777" w:rsidR="00534919" w:rsidRPr="00A53C35" w:rsidRDefault="00A46F10" w:rsidP="00B0111B">
            <w:pPr>
              <w:jc w:val="center"/>
              <w:rPr>
                <w:sz w:val="28"/>
                <w:szCs w:val="28"/>
              </w:rPr>
            </w:pPr>
            <w:r w:rsidRPr="00A53C35">
              <w:rPr>
                <w:sz w:val="28"/>
                <w:szCs w:val="28"/>
              </w:rPr>
              <w:t>Mr D. Mills</w:t>
            </w:r>
          </w:p>
        </w:tc>
      </w:tr>
      <w:tr w:rsidR="00C755FB" w14:paraId="495C628D" w14:textId="77777777" w:rsidTr="00284175">
        <w:tc>
          <w:tcPr>
            <w:tcW w:w="2331" w:type="dxa"/>
            <w:vAlign w:val="center"/>
          </w:tcPr>
          <w:p w14:paraId="031112F7" w14:textId="77777777" w:rsidR="00534919" w:rsidRDefault="00534919" w:rsidP="00534919">
            <w:pPr>
              <w:jc w:val="center"/>
              <w:rPr>
                <w:sz w:val="28"/>
                <w:szCs w:val="28"/>
              </w:rPr>
            </w:pPr>
          </w:p>
        </w:tc>
        <w:tc>
          <w:tcPr>
            <w:tcW w:w="3320" w:type="dxa"/>
            <w:vAlign w:val="center"/>
          </w:tcPr>
          <w:p w14:paraId="41113F1C" w14:textId="77777777" w:rsidR="00534919" w:rsidRPr="00534919" w:rsidRDefault="00534919" w:rsidP="00534919">
            <w:pPr>
              <w:jc w:val="center"/>
              <w:rPr>
                <w:b/>
                <w:sz w:val="28"/>
                <w:szCs w:val="28"/>
              </w:rPr>
            </w:pPr>
            <w:r w:rsidRPr="00534919">
              <w:rPr>
                <w:b/>
                <w:sz w:val="28"/>
                <w:szCs w:val="28"/>
              </w:rPr>
              <w:t xml:space="preserve">Accreditation Level (e.g. GCSE Level 2, BTEC Level </w:t>
            </w:r>
            <w:bookmarkStart w:id="0" w:name="_GoBack"/>
            <w:bookmarkEnd w:id="0"/>
            <w:r w:rsidRPr="00534919">
              <w:rPr>
                <w:b/>
                <w:sz w:val="28"/>
                <w:szCs w:val="28"/>
              </w:rPr>
              <w:t>2)</w:t>
            </w:r>
          </w:p>
        </w:tc>
        <w:tc>
          <w:tcPr>
            <w:tcW w:w="5117" w:type="dxa"/>
            <w:vAlign w:val="center"/>
          </w:tcPr>
          <w:p w14:paraId="4DAEE38C" w14:textId="77777777" w:rsidR="00534919" w:rsidRDefault="00A46F10" w:rsidP="00534919">
            <w:pPr>
              <w:jc w:val="center"/>
              <w:rPr>
                <w:sz w:val="28"/>
                <w:szCs w:val="28"/>
              </w:rPr>
            </w:pPr>
            <w:r>
              <w:rPr>
                <w:sz w:val="28"/>
                <w:szCs w:val="28"/>
              </w:rPr>
              <w:t>GCSE</w:t>
            </w:r>
          </w:p>
        </w:tc>
      </w:tr>
      <w:tr w:rsidR="00D14F67" w14:paraId="24A97832" w14:textId="77777777" w:rsidTr="00284175">
        <w:tc>
          <w:tcPr>
            <w:tcW w:w="2331" w:type="dxa"/>
            <w:vAlign w:val="center"/>
          </w:tcPr>
          <w:p w14:paraId="783D9C40" w14:textId="77777777" w:rsidR="00D14F67" w:rsidRDefault="00D14F67" w:rsidP="00534919">
            <w:pPr>
              <w:jc w:val="center"/>
              <w:rPr>
                <w:sz w:val="28"/>
                <w:szCs w:val="28"/>
              </w:rPr>
            </w:pPr>
          </w:p>
        </w:tc>
        <w:tc>
          <w:tcPr>
            <w:tcW w:w="3320" w:type="dxa"/>
            <w:vAlign w:val="center"/>
          </w:tcPr>
          <w:p w14:paraId="6EA04C11" w14:textId="77777777" w:rsidR="00D14F67" w:rsidRPr="00534919" w:rsidRDefault="00D14F67" w:rsidP="00534919">
            <w:pPr>
              <w:jc w:val="center"/>
              <w:rPr>
                <w:b/>
                <w:sz w:val="28"/>
                <w:szCs w:val="28"/>
              </w:rPr>
            </w:pPr>
            <w:r>
              <w:rPr>
                <w:b/>
                <w:sz w:val="28"/>
                <w:szCs w:val="28"/>
              </w:rPr>
              <w:t>Number of qualifications?</w:t>
            </w:r>
          </w:p>
        </w:tc>
        <w:tc>
          <w:tcPr>
            <w:tcW w:w="5117" w:type="dxa"/>
            <w:vAlign w:val="center"/>
          </w:tcPr>
          <w:p w14:paraId="16931C18" w14:textId="77777777" w:rsidR="00D14F67" w:rsidRDefault="00A46F10" w:rsidP="00534919">
            <w:pPr>
              <w:jc w:val="center"/>
              <w:rPr>
                <w:sz w:val="28"/>
                <w:szCs w:val="28"/>
              </w:rPr>
            </w:pPr>
            <w:r>
              <w:rPr>
                <w:sz w:val="28"/>
                <w:szCs w:val="28"/>
              </w:rPr>
              <w:t>1</w:t>
            </w:r>
          </w:p>
        </w:tc>
      </w:tr>
      <w:tr w:rsidR="00C755FB" w14:paraId="2680F34C" w14:textId="77777777" w:rsidTr="00284175">
        <w:tc>
          <w:tcPr>
            <w:tcW w:w="2331" w:type="dxa"/>
            <w:vMerge w:val="restart"/>
            <w:vAlign w:val="center"/>
          </w:tcPr>
          <w:p w14:paraId="1474E7D7" w14:textId="77777777" w:rsidR="00B01FDD" w:rsidRPr="00534919" w:rsidRDefault="00B01FDD" w:rsidP="00534919">
            <w:pPr>
              <w:jc w:val="center"/>
              <w:rPr>
                <w:sz w:val="28"/>
                <w:szCs w:val="28"/>
              </w:rPr>
            </w:pPr>
            <w:r w:rsidRPr="00534919">
              <w:rPr>
                <w:sz w:val="28"/>
                <w:szCs w:val="28"/>
              </w:rPr>
              <w:t>Exam Information</w:t>
            </w:r>
          </w:p>
        </w:tc>
        <w:tc>
          <w:tcPr>
            <w:tcW w:w="3320" w:type="dxa"/>
            <w:vAlign w:val="center"/>
          </w:tcPr>
          <w:p w14:paraId="63EED621" w14:textId="77777777" w:rsidR="00B01FDD" w:rsidRPr="00534919" w:rsidRDefault="00B01FDD" w:rsidP="00D14F67">
            <w:pPr>
              <w:jc w:val="center"/>
              <w:rPr>
                <w:b/>
                <w:sz w:val="28"/>
                <w:szCs w:val="28"/>
              </w:rPr>
            </w:pPr>
            <w:r w:rsidRPr="00534919">
              <w:rPr>
                <w:b/>
                <w:sz w:val="28"/>
                <w:szCs w:val="28"/>
              </w:rPr>
              <w:t xml:space="preserve">How many </w:t>
            </w:r>
            <w:r w:rsidR="00D14F67">
              <w:rPr>
                <w:b/>
                <w:sz w:val="28"/>
                <w:szCs w:val="28"/>
              </w:rPr>
              <w:t>exams</w:t>
            </w:r>
            <w:r w:rsidRPr="00534919">
              <w:rPr>
                <w:b/>
                <w:sz w:val="28"/>
                <w:szCs w:val="28"/>
              </w:rPr>
              <w:t>?</w:t>
            </w:r>
          </w:p>
        </w:tc>
        <w:tc>
          <w:tcPr>
            <w:tcW w:w="5117" w:type="dxa"/>
            <w:vAlign w:val="center"/>
          </w:tcPr>
          <w:p w14:paraId="5C99A493" w14:textId="77777777" w:rsidR="00B01FDD" w:rsidRPr="00A46F10" w:rsidRDefault="00A46F10" w:rsidP="00A46F10">
            <w:pPr>
              <w:pStyle w:val="ListParagraph"/>
              <w:numPr>
                <w:ilvl w:val="0"/>
                <w:numId w:val="1"/>
              </w:numPr>
              <w:ind w:left="478"/>
              <w:rPr>
                <w:sz w:val="20"/>
                <w:szCs w:val="28"/>
              </w:rPr>
            </w:pPr>
            <w:r w:rsidRPr="00A46F10">
              <w:rPr>
                <w:sz w:val="20"/>
                <w:szCs w:val="28"/>
              </w:rPr>
              <w:t>Paper 1 (78 marks) – The human body and movement in physical activity and sport</w:t>
            </w:r>
          </w:p>
          <w:p w14:paraId="0D4B8D86" w14:textId="77777777" w:rsidR="00A46F10" w:rsidRPr="00A46F10" w:rsidRDefault="00A46F10" w:rsidP="00A46F10">
            <w:pPr>
              <w:pStyle w:val="ListParagraph"/>
              <w:numPr>
                <w:ilvl w:val="0"/>
                <w:numId w:val="1"/>
              </w:numPr>
              <w:ind w:left="478"/>
              <w:rPr>
                <w:sz w:val="20"/>
                <w:szCs w:val="28"/>
              </w:rPr>
            </w:pPr>
            <w:r w:rsidRPr="00A46F10">
              <w:rPr>
                <w:sz w:val="20"/>
                <w:szCs w:val="28"/>
              </w:rPr>
              <w:t>Paper 2 (78 marks) – Socio-cultural influences and well-being in physical activity and sport</w:t>
            </w:r>
          </w:p>
        </w:tc>
      </w:tr>
      <w:tr w:rsidR="00C755FB" w14:paraId="25E1B517" w14:textId="77777777" w:rsidTr="00284175">
        <w:tc>
          <w:tcPr>
            <w:tcW w:w="2331" w:type="dxa"/>
            <w:vMerge/>
            <w:vAlign w:val="center"/>
          </w:tcPr>
          <w:p w14:paraId="3C026521" w14:textId="77777777" w:rsidR="00B01FDD" w:rsidRDefault="00B01FDD" w:rsidP="00534919">
            <w:pPr>
              <w:jc w:val="center"/>
              <w:rPr>
                <w:sz w:val="28"/>
                <w:szCs w:val="28"/>
              </w:rPr>
            </w:pPr>
          </w:p>
        </w:tc>
        <w:tc>
          <w:tcPr>
            <w:tcW w:w="3320" w:type="dxa"/>
            <w:vAlign w:val="center"/>
          </w:tcPr>
          <w:p w14:paraId="42EE7782" w14:textId="77777777" w:rsidR="00B01FDD" w:rsidRPr="00534919" w:rsidRDefault="00B01FDD" w:rsidP="00534919">
            <w:pPr>
              <w:jc w:val="center"/>
              <w:rPr>
                <w:b/>
                <w:sz w:val="28"/>
                <w:szCs w:val="28"/>
              </w:rPr>
            </w:pPr>
            <w:r>
              <w:rPr>
                <w:b/>
                <w:sz w:val="28"/>
                <w:szCs w:val="28"/>
              </w:rPr>
              <w:t>When taken?</w:t>
            </w:r>
          </w:p>
        </w:tc>
        <w:tc>
          <w:tcPr>
            <w:tcW w:w="5117" w:type="dxa"/>
            <w:vAlign w:val="center"/>
          </w:tcPr>
          <w:p w14:paraId="516B8BDE" w14:textId="77777777" w:rsidR="00B01FDD" w:rsidRDefault="00A46F10" w:rsidP="00534919">
            <w:pPr>
              <w:jc w:val="center"/>
              <w:rPr>
                <w:sz w:val="28"/>
                <w:szCs w:val="28"/>
              </w:rPr>
            </w:pPr>
            <w:r>
              <w:rPr>
                <w:sz w:val="28"/>
                <w:szCs w:val="28"/>
              </w:rPr>
              <w:t>End of Year 11 Exam Period</w:t>
            </w:r>
          </w:p>
        </w:tc>
      </w:tr>
      <w:tr w:rsidR="00C755FB" w14:paraId="21EC2DFC" w14:textId="77777777" w:rsidTr="00284175">
        <w:tc>
          <w:tcPr>
            <w:tcW w:w="2331" w:type="dxa"/>
            <w:vMerge/>
            <w:vAlign w:val="center"/>
          </w:tcPr>
          <w:p w14:paraId="5EED0D58" w14:textId="77777777" w:rsidR="00B01FDD" w:rsidRDefault="00B01FDD" w:rsidP="00534919">
            <w:pPr>
              <w:jc w:val="center"/>
              <w:rPr>
                <w:sz w:val="28"/>
                <w:szCs w:val="28"/>
              </w:rPr>
            </w:pPr>
          </w:p>
        </w:tc>
        <w:tc>
          <w:tcPr>
            <w:tcW w:w="3320" w:type="dxa"/>
            <w:vAlign w:val="center"/>
          </w:tcPr>
          <w:p w14:paraId="4725C894" w14:textId="77777777" w:rsidR="00B01FDD" w:rsidRPr="00534919" w:rsidRDefault="00B01FDD" w:rsidP="00534919">
            <w:pPr>
              <w:jc w:val="center"/>
              <w:rPr>
                <w:b/>
                <w:sz w:val="28"/>
                <w:szCs w:val="28"/>
              </w:rPr>
            </w:pPr>
            <w:r>
              <w:rPr>
                <w:b/>
                <w:sz w:val="28"/>
                <w:szCs w:val="28"/>
              </w:rPr>
              <w:t>Percentage of final mark</w:t>
            </w:r>
          </w:p>
        </w:tc>
        <w:tc>
          <w:tcPr>
            <w:tcW w:w="5117" w:type="dxa"/>
            <w:vAlign w:val="center"/>
          </w:tcPr>
          <w:p w14:paraId="0F8CA6EB" w14:textId="77777777" w:rsidR="00B01FDD" w:rsidRDefault="00A46F10" w:rsidP="00534919">
            <w:pPr>
              <w:jc w:val="center"/>
              <w:rPr>
                <w:sz w:val="28"/>
                <w:szCs w:val="28"/>
              </w:rPr>
            </w:pPr>
            <w:r>
              <w:rPr>
                <w:sz w:val="28"/>
                <w:szCs w:val="28"/>
              </w:rPr>
              <w:t>60% (2x 30%)</w:t>
            </w:r>
          </w:p>
        </w:tc>
      </w:tr>
      <w:tr w:rsidR="00A46F10" w14:paraId="795E0C76" w14:textId="77777777" w:rsidTr="00284175">
        <w:tc>
          <w:tcPr>
            <w:tcW w:w="2331" w:type="dxa"/>
            <w:vMerge w:val="restart"/>
            <w:vAlign w:val="center"/>
          </w:tcPr>
          <w:p w14:paraId="7CACE141" w14:textId="77777777" w:rsidR="00A46F10" w:rsidRDefault="00A46F10" w:rsidP="0068542C">
            <w:pPr>
              <w:jc w:val="center"/>
              <w:rPr>
                <w:sz w:val="28"/>
                <w:szCs w:val="28"/>
              </w:rPr>
            </w:pPr>
            <w:r>
              <w:rPr>
                <w:sz w:val="28"/>
                <w:szCs w:val="28"/>
              </w:rPr>
              <w:t>Controlled Assignment Information</w:t>
            </w:r>
          </w:p>
        </w:tc>
        <w:tc>
          <w:tcPr>
            <w:tcW w:w="3320" w:type="dxa"/>
            <w:vAlign w:val="center"/>
          </w:tcPr>
          <w:p w14:paraId="0F4A6A1C" w14:textId="77777777" w:rsidR="00A46F10" w:rsidRDefault="00A46F10" w:rsidP="00534919">
            <w:pPr>
              <w:jc w:val="center"/>
              <w:rPr>
                <w:b/>
                <w:sz w:val="28"/>
                <w:szCs w:val="28"/>
              </w:rPr>
            </w:pPr>
            <w:r>
              <w:rPr>
                <w:b/>
                <w:sz w:val="28"/>
                <w:szCs w:val="28"/>
              </w:rPr>
              <w:t>How many assignments?</w:t>
            </w:r>
          </w:p>
        </w:tc>
        <w:tc>
          <w:tcPr>
            <w:tcW w:w="5117" w:type="dxa"/>
            <w:vMerge w:val="restart"/>
          </w:tcPr>
          <w:p w14:paraId="34D57270" w14:textId="77777777" w:rsidR="00A46F10" w:rsidRDefault="00A46F10" w:rsidP="00A46F10">
            <w:pPr>
              <w:pStyle w:val="ListParagraph"/>
              <w:numPr>
                <w:ilvl w:val="0"/>
                <w:numId w:val="3"/>
              </w:numPr>
              <w:ind w:left="478"/>
              <w:rPr>
                <w:sz w:val="20"/>
                <w:szCs w:val="28"/>
              </w:rPr>
            </w:pPr>
            <w:r w:rsidRPr="00A46F10">
              <w:rPr>
                <w:sz w:val="20"/>
                <w:szCs w:val="28"/>
              </w:rPr>
              <w:t>Coursework</w:t>
            </w:r>
            <w:r>
              <w:rPr>
                <w:sz w:val="20"/>
                <w:szCs w:val="28"/>
              </w:rPr>
              <w:t xml:space="preserve"> (25 marks – 10%) – Analysis &amp; evaluation of performance to bring about improvement in one activity (March Year 11 Submission)</w:t>
            </w:r>
          </w:p>
          <w:p w14:paraId="7B940A5A" w14:textId="77777777" w:rsidR="00A46F10" w:rsidRPr="00A46F10" w:rsidRDefault="00A46F10" w:rsidP="00A46F10">
            <w:pPr>
              <w:pStyle w:val="ListParagraph"/>
              <w:numPr>
                <w:ilvl w:val="0"/>
                <w:numId w:val="3"/>
              </w:numPr>
              <w:ind w:left="478"/>
              <w:rPr>
                <w:sz w:val="20"/>
                <w:szCs w:val="28"/>
              </w:rPr>
            </w:pPr>
            <w:r>
              <w:rPr>
                <w:sz w:val="20"/>
                <w:szCs w:val="28"/>
              </w:rPr>
              <w:t>3x Practical Sports (3x 25 marks – 30%) – 1x Individual Sport, 1x Team Sport, 1x Either</w:t>
            </w:r>
            <w:r w:rsidR="00284175">
              <w:rPr>
                <w:sz w:val="20"/>
                <w:szCs w:val="28"/>
              </w:rPr>
              <w:t xml:space="preserve"> (3x Skills in Isolation, 10 marks per activity, 3x Full Context, 15 marks per activity)</w:t>
            </w:r>
          </w:p>
        </w:tc>
      </w:tr>
      <w:tr w:rsidR="00A46F10" w14:paraId="075DD7CC" w14:textId="77777777" w:rsidTr="00284175">
        <w:tc>
          <w:tcPr>
            <w:tcW w:w="2331" w:type="dxa"/>
            <w:vMerge/>
            <w:vAlign w:val="center"/>
          </w:tcPr>
          <w:p w14:paraId="28110F1E" w14:textId="77777777" w:rsidR="00A46F10" w:rsidRDefault="00A46F10" w:rsidP="0011228E">
            <w:pPr>
              <w:jc w:val="center"/>
              <w:rPr>
                <w:sz w:val="28"/>
                <w:szCs w:val="28"/>
              </w:rPr>
            </w:pPr>
          </w:p>
        </w:tc>
        <w:tc>
          <w:tcPr>
            <w:tcW w:w="3320" w:type="dxa"/>
            <w:vAlign w:val="center"/>
          </w:tcPr>
          <w:p w14:paraId="317DBC4E" w14:textId="77777777" w:rsidR="00A46F10" w:rsidRDefault="00A46F10" w:rsidP="00534919">
            <w:pPr>
              <w:jc w:val="center"/>
              <w:rPr>
                <w:b/>
                <w:sz w:val="28"/>
                <w:szCs w:val="28"/>
              </w:rPr>
            </w:pPr>
            <w:r>
              <w:rPr>
                <w:b/>
                <w:sz w:val="28"/>
                <w:szCs w:val="28"/>
              </w:rPr>
              <w:t>When taken?</w:t>
            </w:r>
          </w:p>
        </w:tc>
        <w:tc>
          <w:tcPr>
            <w:tcW w:w="5117" w:type="dxa"/>
            <w:vMerge/>
            <w:vAlign w:val="center"/>
          </w:tcPr>
          <w:p w14:paraId="3FADBDF9" w14:textId="77777777" w:rsidR="00A46F10" w:rsidRDefault="00A46F10" w:rsidP="00534919">
            <w:pPr>
              <w:jc w:val="center"/>
              <w:rPr>
                <w:sz w:val="28"/>
                <w:szCs w:val="28"/>
              </w:rPr>
            </w:pPr>
          </w:p>
        </w:tc>
      </w:tr>
      <w:tr w:rsidR="00A46F10" w14:paraId="2123DDE3" w14:textId="77777777" w:rsidTr="00284175">
        <w:tc>
          <w:tcPr>
            <w:tcW w:w="2331" w:type="dxa"/>
            <w:vMerge/>
            <w:vAlign w:val="center"/>
          </w:tcPr>
          <w:p w14:paraId="362C5486" w14:textId="77777777" w:rsidR="00A46F10" w:rsidRDefault="00A46F10" w:rsidP="0011228E">
            <w:pPr>
              <w:jc w:val="center"/>
              <w:rPr>
                <w:sz w:val="28"/>
                <w:szCs w:val="28"/>
              </w:rPr>
            </w:pPr>
          </w:p>
        </w:tc>
        <w:tc>
          <w:tcPr>
            <w:tcW w:w="3320" w:type="dxa"/>
            <w:vAlign w:val="center"/>
          </w:tcPr>
          <w:p w14:paraId="5DB360FC" w14:textId="77777777" w:rsidR="00A46F10" w:rsidRDefault="00A46F10" w:rsidP="00534919">
            <w:pPr>
              <w:jc w:val="center"/>
              <w:rPr>
                <w:b/>
                <w:sz w:val="28"/>
                <w:szCs w:val="28"/>
              </w:rPr>
            </w:pPr>
            <w:r>
              <w:rPr>
                <w:b/>
                <w:sz w:val="28"/>
                <w:szCs w:val="28"/>
              </w:rPr>
              <w:t>Percentage of final mark</w:t>
            </w:r>
          </w:p>
        </w:tc>
        <w:tc>
          <w:tcPr>
            <w:tcW w:w="5117" w:type="dxa"/>
            <w:vMerge/>
            <w:vAlign w:val="center"/>
          </w:tcPr>
          <w:p w14:paraId="459C8840" w14:textId="77777777" w:rsidR="00A46F10" w:rsidRDefault="00A46F10" w:rsidP="00534919">
            <w:pPr>
              <w:jc w:val="center"/>
              <w:rPr>
                <w:sz w:val="28"/>
                <w:szCs w:val="28"/>
              </w:rPr>
            </w:pPr>
          </w:p>
        </w:tc>
      </w:tr>
      <w:tr w:rsidR="0068542C" w14:paraId="52837E1A" w14:textId="77777777" w:rsidTr="00284175">
        <w:tc>
          <w:tcPr>
            <w:tcW w:w="2331" w:type="dxa"/>
            <w:vAlign w:val="center"/>
          </w:tcPr>
          <w:p w14:paraId="780410BF" w14:textId="77777777" w:rsidR="0068542C" w:rsidRDefault="0068542C" w:rsidP="0011228E">
            <w:pPr>
              <w:jc w:val="center"/>
              <w:rPr>
                <w:sz w:val="28"/>
                <w:szCs w:val="28"/>
              </w:rPr>
            </w:pPr>
            <w:r>
              <w:rPr>
                <w:sz w:val="28"/>
                <w:szCs w:val="28"/>
              </w:rPr>
              <w:t>Brief Outline of Subject</w:t>
            </w:r>
          </w:p>
        </w:tc>
        <w:tc>
          <w:tcPr>
            <w:tcW w:w="8437" w:type="dxa"/>
            <w:gridSpan w:val="2"/>
            <w:vAlign w:val="center"/>
          </w:tcPr>
          <w:p w14:paraId="4F0373EF" w14:textId="77777777" w:rsidR="00284175" w:rsidRPr="0040072A" w:rsidRDefault="0040072A" w:rsidP="0040072A">
            <w:pPr>
              <w:autoSpaceDE w:val="0"/>
              <w:autoSpaceDN w:val="0"/>
              <w:adjustRightInd w:val="0"/>
              <w:rPr>
                <w:rFonts w:cstheme="minorHAnsi"/>
                <w:sz w:val="20"/>
              </w:rPr>
            </w:pPr>
            <w:r w:rsidRPr="0040072A">
              <w:rPr>
                <w:rFonts w:cstheme="minorHAnsi"/>
                <w:sz w:val="20"/>
              </w:rPr>
              <w:t xml:space="preserve">AQA have worked closely with teachers and the Youth Sport Trust to develop a new GCSE Physical Education specification that will inspire teaching and learning. New and contemporary topics will help students of all abilities to develop a well-rounded skill set and prepare </w:t>
            </w:r>
            <w:r>
              <w:rPr>
                <w:rFonts w:cstheme="minorHAnsi"/>
                <w:sz w:val="20"/>
              </w:rPr>
              <w:t xml:space="preserve">them for progression to further studies. </w:t>
            </w:r>
            <w:r w:rsidRPr="0040072A">
              <w:rPr>
                <w:rFonts w:cstheme="minorHAnsi"/>
                <w:sz w:val="20"/>
              </w:rPr>
              <w:t xml:space="preserve">The activity list and practical weighting for GCSE Physical Education will be the same across all exam boards. However, </w:t>
            </w:r>
            <w:r>
              <w:rPr>
                <w:rFonts w:cstheme="minorHAnsi"/>
                <w:sz w:val="20"/>
              </w:rPr>
              <w:t>AQA have</w:t>
            </w:r>
            <w:r w:rsidRPr="0040072A">
              <w:rPr>
                <w:rFonts w:cstheme="minorHAnsi"/>
                <w:sz w:val="20"/>
              </w:rPr>
              <w:t xml:space="preserve"> worked hard to ensur</w:t>
            </w:r>
            <w:r>
              <w:rPr>
                <w:rFonts w:cstheme="minorHAnsi"/>
                <w:sz w:val="20"/>
              </w:rPr>
              <w:t>e that the</w:t>
            </w:r>
            <w:r w:rsidRPr="0040072A">
              <w:rPr>
                <w:rFonts w:cstheme="minorHAnsi"/>
                <w:sz w:val="20"/>
              </w:rPr>
              <w:t xml:space="preserve"> new s</w:t>
            </w:r>
            <w:r>
              <w:rPr>
                <w:rFonts w:cstheme="minorHAnsi"/>
                <w:sz w:val="20"/>
              </w:rPr>
              <w:t>pecification is engaging and</w:t>
            </w:r>
            <w:r w:rsidRPr="0040072A">
              <w:rPr>
                <w:rFonts w:cstheme="minorHAnsi"/>
                <w:sz w:val="20"/>
              </w:rPr>
              <w:t xml:space="preserve"> assessment </w:t>
            </w:r>
            <w:r>
              <w:rPr>
                <w:rFonts w:cstheme="minorHAnsi"/>
                <w:sz w:val="20"/>
              </w:rPr>
              <w:t>is clear. AQA are confident that the</w:t>
            </w:r>
            <w:r w:rsidRPr="0040072A">
              <w:rPr>
                <w:rFonts w:cstheme="minorHAnsi"/>
                <w:sz w:val="20"/>
              </w:rPr>
              <w:t xml:space="preserve"> GCSE Physical Education specification will inspire</w:t>
            </w:r>
            <w:r>
              <w:rPr>
                <w:rFonts w:cstheme="minorHAnsi"/>
                <w:sz w:val="20"/>
              </w:rPr>
              <w:t xml:space="preserve"> and challenge</w:t>
            </w:r>
            <w:r w:rsidRPr="0040072A">
              <w:rPr>
                <w:rFonts w:cstheme="minorHAnsi"/>
                <w:sz w:val="20"/>
              </w:rPr>
              <w:t xml:space="preserve"> students to do their best.</w:t>
            </w:r>
          </w:p>
        </w:tc>
      </w:tr>
      <w:tr w:rsidR="0068542C" w14:paraId="46BF32F8" w14:textId="77777777" w:rsidTr="00284175">
        <w:tc>
          <w:tcPr>
            <w:tcW w:w="2331" w:type="dxa"/>
            <w:vAlign w:val="center"/>
          </w:tcPr>
          <w:p w14:paraId="198982F7" w14:textId="77777777" w:rsidR="0068542C" w:rsidRDefault="0068542C" w:rsidP="0011228E">
            <w:pPr>
              <w:jc w:val="center"/>
              <w:rPr>
                <w:sz w:val="28"/>
                <w:szCs w:val="28"/>
              </w:rPr>
            </w:pPr>
            <w:r>
              <w:rPr>
                <w:sz w:val="28"/>
                <w:szCs w:val="28"/>
              </w:rPr>
              <w:t xml:space="preserve">Post-16 Progression Routes </w:t>
            </w:r>
          </w:p>
        </w:tc>
        <w:tc>
          <w:tcPr>
            <w:tcW w:w="8437" w:type="dxa"/>
            <w:gridSpan w:val="2"/>
            <w:vAlign w:val="center"/>
          </w:tcPr>
          <w:p w14:paraId="4B71F733" w14:textId="77777777" w:rsidR="00284175" w:rsidRPr="00284175" w:rsidRDefault="00284175" w:rsidP="00284175">
            <w:pPr>
              <w:rPr>
                <w:sz w:val="20"/>
                <w:szCs w:val="28"/>
              </w:rPr>
            </w:pPr>
            <w:r>
              <w:rPr>
                <w:sz w:val="20"/>
                <w:szCs w:val="28"/>
              </w:rPr>
              <w:t>Further Education</w:t>
            </w:r>
          </w:p>
          <w:p w14:paraId="6E254594" w14:textId="77777777" w:rsidR="0068542C" w:rsidRDefault="00284175" w:rsidP="00284175">
            <w:pPr>
              <w:pStyle w:val="ListParagraph"/>
              <w:numPr>
                <w:ilvl w:val="0"/>
                <w:numId w:val="4"/>
              </w:numPr>
              <w:rPr>
                <w:sz w:val="20"/>
                <w:szCs w:val="28"/>
              </w:rPr>
            </w:pPr>
            <w:r>
              <w:rPr>
                <w:sz w:val="20"/>
                <w:szCs w:val="28"/>
              </w:rPr>
              <w:t>A-Level Physical Education</w:t>
            </w:r>
          </w:p>
          <w:p w14:paraId="26EB27BE" w14:textId="77777777" w:rsidR="00284175" w:rsidRDefault="00284175" w:rsidP="00284175">
            <w:pPr>
              <w:pStyle w:val="ListParagraph"/>
              <w:numPr>
                <w:ilvl w:val="0"/>
                <w:numId w:val="4"/>
              </w:numPr>
              <w:rPr>
                <w:sz w:val="20"/>
                <w:szCs w:val="28"/>
              </w:rPr>
            </w:pPr>
            <w:r>
              <w:rPr>
                <w:sz w:val="20"/>
                <w:szCs w:val="28"/>
              </w:rPr>
              <w:t>BTEC Level 3 Sport</w:t>
            </w:r>
          </w:p>
          <w:p w14:paraId="266069EF" w14:textId="77777777" w:rsidR="0068542C" w:rsidRDefault="00284175" w:rsidP="00284175">
            <w:pPr>
              <w:rPr>
                <w:sz w:val="20"/>
                <w:szCs w:val="28"/>
              </w:rPr>
            </w:pPr>
            <w:r>
              <w:rPr>
                <w:sz w:val="20"/>
                <w:szCs w:val="28"/>
              </w:rPr>
              <w:t>Higher Education</w:t>
            </w:r>
          </w:p>
          <w:p w14:paraId="5BCCBB5B" w14:textId="77777777" w:rsidR="00284175" w:rsidRDefault="00284175" w:rsidP="00284175">
            <w:pPr>
              <w:pStyle w:val="ListParagraph"/>
              <w:numPr>
                <w:ilvl w:val="0"/>
                <w:numId w:val="5"/>
              </w:numPr>
              <w:rPr>
                <w:sz w:val="20"/>
                <w:szCs w:val="28"/>
              </w:rPr>
            </w:pPr>
            <w:r>
              <w:rPr>
                <w:sz w:val="20"/>
                <w:szCs w:val="28"/>
              </w:rPr>
              <w:t>Undergraduate Degrees including: Sport, Physical Education, Health &amp; Fitness, Sports Coaching, Sports Leadership, Outdoor Education, Sports Management, Sports Physiology, Kinesiology and Biomechanics, Sports Psychology and Sociology, Sports Rehabilitation, and Sports Performance</w:t>
            </w:r>
          </w:p>
          <w:p w14:paraId="583C817A" w14:textId="77777777" w:rsidR="00284175" w:rsidRDefault="00284175" w:rsidP="00284175">
            <w:pPr>
              <w:rPr>
                <w:sz w:val="20"/>
                <w:szCs w:val="28"/>
              </w:rPr>
            </w:pPr>
            <w:r>
              <w:rPr>
                <w:sz w:val="20"/>
                <w:szCs w:val="28"/>
              </w:rPr>
              <w:t>Career Pathways</w:t>
            </w:r>
          </w:p>
          <w:p w14:paraId="244002FC" w14:textId="77777777" w:rsidR="00284175" w:rsidRPr="00284175" w:rsidRDefault="00284175" w:rsidP="00284175">
            <w:pPr>
              <w:pStyle w:val="ListParagraph"/>
              <w:numPr>
                <w:ilvl w:val="0"/>
                <w:numId w:val="5"/>
              </w:numPr>
              <w:rPr>
                <w:sz w:val="20"/>
                <w:szCs w:val="28"/>
              </w:rPr>
            </w:pPr>
            <w:r>
              <w:rPr>
                <w:sz w:val="20"/>
                <w:szCs w:val="28"/>
              </w:rPr>
              <w:t>Education, Leisure, Leadership, Performance, Health &amp; Fitness, Psychology, Rehabilitation, Coaching and Leadership</w:t>
            </w:r>
          </w:p>
        </w:tc>
      </w:tr>
      <w:tr w:rsidR="0068542C" w14:paraId="76D94ADD" w14:textId="77777777" w:rsidTr="00284175">
        <w:tc>
          <w:tcPr>
            <w:tcW w:w="2331" w:type="dxa"/>
            <w:vAlign w:val="center"/>
          </w:tcPr>
          <w:p w14:paraId="3013417E" w14:textId="77777777" w:rsidR="0068542C" w:rsidRDefault="0068542C" w:rsidP="0011228E">
            <w:pPr>
              <w:jc w:val="center"/>
              <w:rPr>
                <w:sz w:val="28"/>
                <w:szCs w:val="28"/>
              </w:rPr>
            </w:pPr>
            <w:r>
              <w:rPr>
                <w:sz w:val="28"/>
                <w:szCs w:val="28"/>
              </w:rPr>
              <w:t>Relevant Information</w:t>
            </w:r>
          </w:p>
        </w:tc>
        <w:tc>
          <w:tcPr>
            <w:tcW w:w="8437" w:type="dxa"/>
            <w:gridSpan w:val="2"/>
            <w:vAlign w:val="center"/>
          </w:tcPr>
          <w:p w14:paraId="6DC439BD" w14:textId="77777777" w:rsidR="0068542C" w:rsidRDefault="00284175" w:rsidP="00284175">
            <w:pPr>
              <w:pStyle w:val="ListParagraph"/>
              <w:numPr>
                <w:ilvl w:val="0"/>
                <w:numId w:val="5"/>
              </w:numPr>
              <w:jc w:val="both"/>
              <w:rPr>
                <w:sz w:val="20"/>
                <w:szCs w:val="28"/>
              </w:rPr>
            </w:pPr>
            <w:r>
              <w:rPr>
                <w:sz w:val="20"/>
                <w:szCs w:val="28"/>
              </w:rPr>
              <w:t>Students must be committed to at least two sports outside of school, one team and one individual</w:t>
            </w:r>
            <w:r w:rsidR="0040072A">
              <w:rPr>
                <w:sz w:val="20"/>
                <w:szCs w:val="28"/>
              </w:rPr>
              <w:t xml:space="preserve"> from the supplied AQA list of acceptable sporting activities</w:t>
            </w:r>
          </w:p>
          <w:p w14:paraId="1BE805FE" w14:textId="77777777" w:rsidR="0068542C" w:rsidRDefault="00284175" w:rsidP="00284175">
            <w:pPr>
              <w:pStyle w:val="ListParagraph"/>
              <w:numPr>
                <w:ilvl w:val="0"/>
                <w:numId w:val="5"/>
              </w:numPr>
              <w:jc w:val="both"/>
              <w:rPr>
                <w:sz w:val="20"/>
                <w:szCs w:val="28"/>
              </w:rPr>
            </w:pPr>
            <w:r>
              <w:rPr>
                <w:sz w:val="20"/>
                <w:szCs w:val="28"/>
              </w:rPr>
              <w:t>Students must commit to all extra-curricular sporting opportunities within school, both individual and team training and fixtures</w:t>
            </w:r>
          </w:p>
          <w:p w14:paraId="2F3A9E57" w14:textId="77777777" w:rsidR="00284175" w:rsidRPr="0040072A" w:rsidRDefault="00284175" w:rsidP="00284175">
            <w:pPr>
              <w:pStyle w:val="ListParagraph"/>
              <w:numPr>
                <w:ilvl w:val="0"/>
                <w:numId w:val="5"/>
              </w:numPr>
              <w:jc w:val="both"/>
              <w:rPr>
                <w:sz w:val="20"/>
                <w:szCs w:val="28"/>
              </w:rPr>
            </w:pPr>
            <w:r>
              <w:rPr>
                <w:sz w:val="20"/>
                <w:szCs w:val="28"/>
              </w:rPr>
              <w:t>Students must provide video-recorded evidence of their skills in isolation and skills in full context – submitted as non-examination assessment evidence</w:t>
            </w:r>
          </w:p>
        </w:tc>
      </w:tr>
    </w:tbl>
    <w:p w14:paraId="091A09A2" w14:textId="77777777" w:rsidR="00534919" w:rsidRPr="00534919" w:rsidRDefault="00534919" w:rsidP="0040072A">
      <w:pPr>
        <w:rPr>
          <w:sz w:val="28"/>
          <w:szCs w:val="28"/>
        </w:rPr>
      </w:pPr>
    </w:p>
    <w:sectPr w:rsidR="00534919" w:rsidRPr="00534919" w:rsidSect="0028417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3E69C" w14:textId="77777777" w:rsidR="00B10C23" w:rsidRDefault="00B10C23" w:rsidP="00534919">
      <w:pPr>
        <w:spacing w:after="0" w:line="240" w:lineRule="auto"/>
      </w:pPr>
      <w:r>
        <w:separator/>
      </w:r>
    </w:p>
  </w:endnote>
  <w:endnote w:type="continuationSeparator" w:id="0">
    <w:p w14:paraId="4F8F5D97" w14:textId="77777777" w:rsidR="00B10C23" w:rsidRDefault="00B10C23"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AF213" w14:textId="77777777" w:rsidR="00B10C23" w:rsidRDefault="00B10C23" w:rsidP="00534919">
      <w:pPr>
        <w:spacing w:after="0" w:line="240" w:lineRule="auto"/>
      </w:pPr>
      <w:r>
        <w:separator/>
      </w:r>
    </w:p>
  </w:footnote>
  <w:footnote w:type="continuationSeparator" w:id="0">
    <w:p w14:paraId="142D7F8D" w14:textId="77777777" w:rsidR="00B10C23" w:rsidRDefault="00B10C23"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9BF0" w14:textId="77777777"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1A2CDF10" wp14:editId="46762CFF">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AAB"/>
    <w:multiLevelType w:val="hybridMultilevel"/>
    <w:tmpl w:val="D066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E50402"/>
    <w:multiLevelType w:val="hybridMultilevel"/>
    <w:tmpl w:val="D63A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71757"/>
    <w:multiLevelType w:val="hybridMultilevel"/>
    <w:tmpl w:val="40D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61CF9"/>
    <w:multiLevelType w:val="hybridMultilevel"/>
    <w:tmpl w:val="4F30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5C857B2"/>
    <w:multiLevelType w:val="hybridMultilevel"/>
    <w:tmpl w:val="2078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84175"/>
    <w:rsid w:val="00292A4F"/>
    <w:rsid w:val="002A024D"/>
    <w:rsid w:val="002B77C1"/>
    <w:rsid w:val="002E4D7C"/>
    <w:rsid w:val="00306DFF"/>
    <w:rsid w:val="0040072A"/>
    <w:rsid w:val="00513F26"/>
    <w:rsid w:val="00534919"/>
    <w:rsid w:val="0066262E"/>
    <w:rsid w:val="0068542C"/>
    <w:rsid w:val="00766276"/>
    <w:rsid w:val="008E5CD6"/>
    <w:rsid w:val="00985E5C"/>
    <w:rsid w:val="00A46F10"/>
    <w:rsid w:val="00A53C35"/>
    <w:rsid w:val="00B0111B"/>
    <w:rsid w:val="00B01FDD"/>
    <w:rsid w:val="00B07504"/>
    <w:rsid w:val="00B10C23"/>
    <w:rsid w:val="00B51208"/>
    <w:rsid w:val="00C755FB"/>
    <w:rsid w:val="00CD6160"/>
    <w:rsid w:val="00D14F67"/>
    <w:rsid w:val="00D338EA"/>
    <w:rsid w:val="00D40D9A"/>
    <w:rsid w:val="00D651CE"/>
    <w:rsid w:val="00DA79E0"/>
    <w:rsid w:val="00DD011F"/>
    <w:rsid w:val="00DE009E"/>
    <w:rsid w:val="00DE5F3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9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A46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 w:type="paragraph" w:styleId="ListParagraph">
    <w:name w:val="List Paragraph"/>
    <w:basedOn w:val="Normal"/>
    <w:uiPriority w:val="34"/>
    <w:qFormat/>
    <w:rsid w:val="00A4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Bell</dc:creator>
  <cp:lastModifiedBy>J Bell</cp:lastModifiedBy>
  <cp:revision>3</cp:revision>
  <dcterms:created xsi:type="dcterms:W3CDTF">2018-03-05T10:10:00Z</dcterms:created>
  <dcterms:modified xsi:type="dcterms:W3CDTF">2018-04-12T10:36:00Z</dcterms:modified>
</cp:coreProperties>
</file>