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B" w:rsidRDefault="00166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Stage 4 Curriculum Information: 2017-2018</w:t>
      </w:r>
    </w:p>
    <w:p w:rsidR="0089170B" w:rsidRDefault="00166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Below is useful information from departments that provide you with information about the types of qualifications available at Key Stage 4. </w:t>
      </w:r>
      <w:r>
        <w:rPr>
          <w:sz w:val="28"/>
          <w:szCs w:val="28"/>
        </w:rPr>
        <w:t xml:space="preserve"> If you require any further information please contact the Head of Department on the email address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64"/>
      </w:tblGrid>
      <w:tr w:rsidR="0089170B">
        <w:tc>
          <w:tcPr>
            <w:tcW w:w="2376" w:type="dxa"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</w:tr>
      <w:tr w:rsidR="0089170B">
        <w:tc>
          <w:tcPr>
            <w:tcW w:w="2376" w:type="dxa"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 Board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 Edexcel</w:t>
            </w:r>
          </w:p>
        </w:tc>
      </w:tr>
      <w:tr w:rsidR="0089170B">
        <w:trPr>
          <w:trHeight w:val="700"/>
        </w:trPr>
        <w:tc>
          <w:tcPr>
            <w:tcW w:w="2376" w:type="dxa"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of Department</w:t>
            </w:r>
          </w:p>
        </w:tc>
        <w:tc>
          <w:tcPr>
            <w:tcW w:w="3464" w:type="dxa"/>
            <w:vAlign w:val="center"/>
          </w:tcPr>
          <w:p w:rsidR="0089170B" w:rsidRPr="008804F2" w:rsidRDefault="00166072">
            <w:pPr>
              <w:jc w:val="center"/>
              <w:rPr>
                <w:sz w:val="28"/>
                <w:szCs w:val="28"/>
              </w:rPr>
            </w:pPr>
            <w:r w:rsidRPr="008804F2">
              <w:rPr>
                <w:sz w:val="28"/>
                <w:szCs w:val="28"/>
              </w:rPr>
              <w:t>Mr D McDonald</w:t>
            </w:r>
          </w:p>
        </w:tc>
      </w:tr>
      <w:tr w:rsidR="0089170B">
        <w:tc>
          <w:tcPr>
            <w:tcW w:w="2376" w:type="dxa"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Accreditation Level (e.g. GCSE Level 2, BTEC Level 2)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GCSE Full Level 1 and 2</w:t>
            </w:r>
          </w:p>
        </w:tc>
      </w:tr>
      <w:tr w:rsidR="0089170B">
        <w:tc>
          <w:tcPr>
            <w:tcW w:w="2376" w:type="dxa"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qualifications?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170B">
        <w:tc>
          <w:tcPr>
            <w:tcW w:w="2376" w:type="dxa"/>
            <w:vMerge w:val="restart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Information</w:t>
            </w: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exams?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170B">
        <w:tc>
          <w:tcPr>
            <w:tcW w:w="2376" w:type="dxa"/>
            <w:vMerge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taken?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Year 11</w:t>
            </w:r>
          </w:p>
        </w:tc>
      </w:tr>
      <w:tr w:rsidR="0089170B">
        <w:tc>
          <w:tcPr>
            <w:tcW w:w="2376" w:type="dxa"/>
            <w:vMerge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 of final mark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9170B">
        <w:tc>
          <w:tcPr>
            <w:tcW w:w="2376" w:type="dxa"/>
            <w:vMerge w:val="restart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Controlled Assignment Information</w:t>
            </w: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assignments?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170B">
        <w:tc>
          <w:tcPr>
            <w:tcW w:w="2376" w:type="dxa"/>
            <w:vMerge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taken?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89170B">
        <w:tc>
          <w:tcPr>
            <w:tcW w:w="2376" w:type="dxa"/>
            <w:vMerge/>
            <w:vAlign w:val="center"/>
          </w:tcPr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9170B" w:rsidRDefault="00166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 of final mark</w:t>
            </w:r>
          </w:p>
        </w:tc>
        <w:tc>
          <w:tcPr>
            <w:tcW w:w="3464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89170B">
        <w:tc>
          <w:tcPr>
            <w:tcW w:w="2376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Outline of Subject</w:t>
            </w:r>
          </w:p>
        </w:tc>
        <w:tc>
          <w:tcPr>
            <w:tcW w:w="6866" w:type="dxa"/>
            <w:gridSpan w:val="2"/>
            <w:vAlign w:val="center"/>
          </w:tcPr>
          <w:p w:rsidR="0089170B" w:rsidRDefault="00166072" w:rsidP="00840A7B">
            <w:pPr>
              <w:rPr>
                <w:sz w:val="24"/>
                <w:szCs w:val="24"/>
              </w:rPr>
            </w:pPr>
            <w:r w:rsidRPr="00840A7B">
              <w:rPr>
                <w:sz w:val="24"/>
                <w:szCs w:val="24"/>
              </w:rPr>
              <w:t xml:space="preserve">Mathematics are to enable students to: </w:t>
            </w:r>
          </w:p>
          <w:p w:rsidR="00840A7B" w:rsidRPr="00840A7B" w:rsidRDefault="00840A7B" w:rsidP="00840A7B">
            <w:pPr>
              <w:rPr>
                <w:sz w:val="24"/>
                <w:szCs w:val="24"/>
              </w:rPr>
            </w:pPr>
          </w:p>
          <w:p w:rsidR="0089170B" w:rsidRDefault="00166072" w:rsidP="00840A7B">
            <w:pPr>
              <w:rPr>
                <w:sz w:val="24"/>
                <w:szCs w:val="24"/>
              </w:rPr>
            </w:pPr>
            <w:r w:rsidRPr="00840A7B">
              <w:rPr>
                <w:sz w:val="24"/>
                <w:szCs w:val="24"/>
              </w:rPr>
              <w:t xml:space="preserve">● develop fluent knowledge, skills and understanding of mathematical methods and concepts </w:t>
            </w:r>
          </w:p>
          <w:p w:rsidR="00840A7B" w:rsidRPr="00840A7B" w:rsidRDefault="00840A7B" w:rsidP="00840A7B">
            <w:pPr>
              <w:rPr>
                <w:sz w:val="24"/>
                <w:szCs w:val="24"/>
              </w:rPr>
            </w:pPr>
          </w:p>
          <w:p w:rsidR="00840A7B" w:rsidRPr="00840A7B" w:rsidRDefault="00166072" w:rsidP="00840A7B">
            <w:pPr>
              <w:rPr>
                <w:sz w:val="24"/>
                <w:szCs w:val="24"/>
              </w:rPr>
            </w:pPr>
            <w:r w:rsidRPr="00840A7B">
              <w:rPr>
                <w:sz w:val="24"/>
                <w:szCs w:val="24"/>
              </w:rPr>
              <w:t xml:space="preserve">● acquire, select and apply mathematical techniques to solve problems </w:t>
            </w:r>
          </w:p>
          <w:p w:rsidR="00840A7B" w:rsidRPr="00840A7B" w:rsidRDefault="00840A7B" w:rsidP="00840A7B">
            <w:pPr>
              <w:rPr>
                <w:sz w:val="24"/>
                <w:szCs w:val="24"/>
              </w:rPr>
            </w:pPr>
          </w:p>
          <w:p w:rsidR="0089170B" w:rsidRDefault="00166072" w:rsidP="00840A7B">
            <w:pPr>
              <w:rPr>
                <w:sz w:val="24"/>
                <w:szCs w:val="24"/>
              </w:rPr>
            </w:pPr>
            <w:r w:rsidRPr="00840A7B">
              <w:rPr>
                <w:sz w:val="24"/>
                <w:szCs w:val="24"/>
              </w:rPr>
              <w:t>● reason mathematically, make</w:t>
            </w:r>
            <w:r w:rsidRPr="00840A7B">
              <w:rPr>
                <w:sz w:val="24"/>
                <w:szCs w:val="24"/>
              </w:rPr>
              <w:t xml:space="preserve"> deductions and inferences, and draw conclusions </w:t>
            </w:r>
          </w:p>
          <w:p w:rsidR="00840A7B" w:rsidRPr="00840A7B" w:rsidRDefault="00840A7B" w:rsidP="00840A7B">
            <w:pPr>
              <w:rPr>
                <w:sz w:val="24"/>
                <w:szCs w:val="24"/>
              </w:rPr>
            </w:pPr>
          </w:p>
          <w:p w:rsidR="0089170B" w:rsidRPr="00840A7B" w:rsidRDefault="00166072" w:rsidP="00840A7B">
            <w:pPr>
              <w:rPr>
                <w:sz w:val="24"/>
                <w:szCs w:val="24"/>
              </w:rPr>
            </w:pPr>
            <w:r w:rsidRPr="00840A7B">
              <w:rPr>
                <w:sz w:val="24"/>
                <w:szCs w:val="24"/>
              </w:rPr>
              <w:t>● comprehend, interpret and communicate mathematical information in a variety of forms appropriate to the information and context.</w:t>
            </w:r>
          </w:p>
          <w:p w:rsidR="0089170B" w:rsidRDefault="0089170B">
            <w:pPr>
              <w:jc w:val="center"/>
              <w:rPr>
                <w:sz w:val="28"/>
                <w:szCs w:val="28"/>
              </w:rPr>
            </w:pPr>
          </w:p>
        </w:tc>
      </w:tr>
      <w:tr w:rsidR="0089170B">
        <w:tc>
          <w:tcPr>
            <w:tcW w:w="2376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Post-16 Progression Routes </w:t>
            </w:r>
          </w:p>
        </w:tc>
        <w:tc>
          <w:tcPr>
            <w:tcW w:w="6866" w:type="dxa"/>
            <w:gridSpan w:val="2"/>
            <w:vAlign w:val="center"/>
          </w:tcPr>
          <w:p w:rsidR="0089170B" w:rsidRPr="00840A7B" w:rsidRDefault="0089170B">
            <w:pPr>
              <w:jc w:val="center"/>
              <w:rPr>
                <w:sz w:val="24"/>
                <w:szCs w:val="24"/>
              </w:rPr>
            </w:pPr>
          </w:p>
          <w:p w:rsidR="0089170B" w:rsidRPr="00840A7B" w:rsidRDefault="00166072">
            <w:pPr>
              <w:jc w:val="center"/>
              <w:rPr>
                <w:sz w:val="24"/>
                <w:szCs w:val="24"/>
              </w:rPr>
            </w:pPr>
            <w:r w:rsidRPr="00840A7B">
              <w:rPr>
                <w:sz w:val="24"/>
                <w:szCs w:val="24"/>
              </w:rPr>
              <w:t>A/AS Level Mathematics</w:t>
            </w:r>
          </w:p>
          <w:p w:rsidR="0089170B" w:rsidRPr="00840A7B" w:rsidRDefault="00166072" w:rsidP="00840A7B">
            <w:pPr>
              <w:jc w:val="center"/>
              <w:rPr>
                <w:sz w:val="24"/>
                <w:szCs w:val="24"/>
              </w:rPr>
            </w:pPr>
            <w:r w:rsidRPr="00840A7B">
              <w:rPr>
                <w:sz w:val="24"/>
                <w:szCs w:val="24"/>
              </w:rPr>
              <w:t xml:space="preserve">A/AS Level Further </w:t>
            </w:r>
            <w:r w:rsidRPr="00840A7B">
              <w:rPr>
                <w:sz w:val="24"/>
                <w:szCs w:val="24"/>
              </w:rPr>
              <w:t>Mathematics</w:t>
            </w:r>
          </w:p>
        </w:tc>
      </w:tr>
      <w:tr w:rsidR="0089170B">
        <w:tc>
          <w:tcPr>
            <w:tcW w:w="2376" w:type="dxa"/>
            <w:vAlign w:val="center"/>
          </w:tcPr>
          <w:p w:rsidR="0089170B" w:rsidRDefault="00166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 Information</w:t>
            </w:r>
          </w:p>
        </w:tc>
        <w:tc>
          <w:tcPr>
            <w:tcW w:w="6866" w:type="dxa"/>
            <w:gridSpan w:val="2"/>
            <w:vAlign w:val="center"/>
          </w:tcPr>
          <w:p w:rsidR="00840A7B" w:rsidRPr="00840A7B" w:rsidRDefault="00166072" w:rsidP="00840A7B">
            <w:pPr>
              <w:rPr>
                <w:sz w:val="24"/>
                <w:szCs w:val="24"/>
              </w:rPr>
            </w:pPr>
            <w:r w:rsidRPr="00840A7B">
              <w:rPr>
                <w:sz w:val="24"/>
                <w:szCs w:val="24"/>
              </w:rPr>
              <w:t>Further information about the course can be found on :</w:t>
            </w:r>
            <w:bookmarkStart w:id="0" w:name="_GoBack"/>
            <w:bookmarkEnd w:id="0"/>
          </w:p>
          <w:p w:rsidR="00840A7B" w:rsidRDefault="00840A7B" w:rsidP="00840A7B">
            <w:pPr>
              <w:rPr>
                <w:sz w:val="28"/>
                <w:szCs w:val="28"/>
              </w:rPr>
            </w:pPr>
            <w:hyperlink r:id="rId7" w:history="1">
              <w:r w:rsidRPr="00840A7B">
                <w:rPr>
                  <w:rStyle w:val="Hyperlink"/>
                  <w:sz w:val="24"/>
                  <w:szCs w:val="24"/>
                </w:rPr>
                <w:t>https://qualifications.pearson.com/en/qualifications/edexcel-gcses/mathematics-2015.html</w:t>
              </w:r>
            </w:hyperlink>
          </w:p>
        </w:tc>
      </w:tr>
    </w:tbl>
    <w:p w:rsidR="0089170B" w:rsidRDefault="0089170B">
      <w:pPr>
        <w:rPr>
          <w:sz w:val="28"/>
          <w:szCs w:val="28"/>
        </w:rPr>
      </w:pPr>
    </w:p>
    <w:sectPr w:rsidR="008917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72" w:rsidRDefault="00166072">
      <w:pPr>
        <w:spacing w:after="0" w:line="240" w:lineRule="auto"/>
      </w:pPr>
      <w:r>
        <w:separator/>
      </w:r>
    </w:p>
  </w:endnote>
  <w:endnote w:type="continuationSeparator" w:id="0">
    <w:p w:rsidR="00166072" w:rsidRDefault="0016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72" w:rsidRDefault="00166072">
      <w:pPr>
        <w:spacing w:after="0" w:line="240" w:lineRule="auto"/>
      </w:pPr>
      <w:r>
        <w:separator/>
      </w:r>
    </w:p>
  </w:footnote>
  <w:footnote w:type="continuationSeparator" w:id="0">
    <w:p w:rsidR="00166072" w:rsidRDefault="0016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0B" w:rsidRDefault="00166072">
    <w:pPr>
      <w:pStyle w:val="Header"/>
    </w:pPr>
    <w:r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-368300</wp:posOffset>
          </wp:positionH>
          <wp:positionV relativeFrom="paragraph">
            <wp:posOffset>-582930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B"/>
    <w:rsid w:val="00166072"/>
    <w:rsid w:val="00840A7B"/>
    <w:rsid w:val="008804F2"/>
    <w:rsid w:val="008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ualifications.pearson.com/en/qualifications/edexcel-gcses/mathematics-20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8</cp:revision>
  <dcterms:created xsi:type="dcterms:W3CDTF">2017-08-22T21:07:00Z</dcterms:created>
  <dcterms:modified xsi:type="dcterms:W3CDTF">2018-04-12T10:21:00Z</dcterms:modified>
</cp:coreProperties>
</file>